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0032E1D5" w14:textId="77777777" w:rsidR="00135066" w:rsidRPr="00837881" w:rsidRDefault="00135066" w:rsidP="00135066">
      <w:pPr>
        <w:pStyle w:val="Titre"/>
        <w:ind w:right="-993"/>
      </w:pPr>
    </w:p>
    <w:p w14:paraId="3B0E503E" w14:textId="1F656AE1" w:rsidR="00135066" w:rsidRPr="00837881" w:rsidRDefault="00C14E15" w:rsidP="00C14E15">
      <w:pPr>
        <w:pStyle w:val="Titre"/>
        <w:ind w:left="2694" w:right="-993"/>
        <w:jc w:val="left"/>
      </w:pPr>
      <w:r w:rsidRPr="005920BA">
        <w:rPr>
          <w:color w:val="1F497D"/>
          <w:sz w:val="32"/>
          <w:szCs w:val="32"/>
          <w:u w:val="single"/>
        </w:rPr>
        <w:t xml:space="preserve">Caf et </w:t>
      </w:r>
      <w:proofErr w:type="spellStart"/>
      <w:r w:rsidRPr="005920BA">
        <w:rPr>
          <w:color w:val="1F497D"/>
          <w:sz w:val="32"/>
          <w:szCs w:val="32"/>
          <w:u w:val="single"/>
        </w:rPr>
        <w:t>Cmsa</w:t>
      </w:r>
      <w:proofErr w:type="spellEnd"/>
      <w:r w:rsidRPr="005920BA">
        <w:rPr>
          <w:color w:val="1F497D"/>
          <w:sz w:val="32"/>
          <w:szCs w:val="32"/>
          <w:u w:val="single"/>
        </w:rPr>
        <w:t> :</w:t>
      </w:r>
    </w:p>
    <w:p w14:paraId="5F01B8B2" w14:textId="3733EA47" w:rsidR="005A322F" w:rsidRPr="00937F3A" w:rsidRDefault="00E205FC" w:rsidP="00937F3A">
      <w:pPr>
        <w:widowControl w:val="0"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00937F3A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Subvention</w:t>
      </w:r>
      <w:r w:rsidR="005A322F" w:rsidRPr="00937F3A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« </w:t>
      </w:r>
      <w:r w:rsidR="00443E3F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Accueil </w:t>
      </w:r>
      <w:r w:rsidR="005A322F" w:rsidRPr="00937F3A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Adolescents »</w:t>
      </w:r>
    </w:p>
    <w:p w14:paraId="79022959" w14:textId="77777777" w:rsidR="00C14E15" w:rsidRDefault="00C14E15" w:rsidP="005A322F">
      <w:pPr>
        <w:widowControl w:val="0"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0DE98E78" w14:textId="02D1DF2A" w:rsidR="00C14E15" w:rsidRPr="00C14E15" w:rsidRDefault="00C14E15" w:rsidP="00C14E15">
      <w:pPr>
        <w:pStyle w:val="Titre"/>
        <w:ind w:left="2694" w:right="-993"/>
        <w:jc w:val="left"/>
        <w:rPr>
          <w:color w:val="1F497D"/>
          <w:sz w:val="32"/>
          <w:szCs w:val="32"/>
          <w:u w:val="single"/>
        </w:rPr>
      </w:pPr>
      <w:r w:rsidRPr="005920BA">
        <w:rPr>
          <w:color w:val="1F497D"/>
          <w:sz w:val="32"/>
          <w:szCs w:val="32"/>
          <w:u w:val="single"/>
        </w:rPr>
        <w:t>Caf</w:t>
      </w:r>
      <w:r>
        <w:rPr>
          <w:color w:val="1F497D"/>
          <w:sz w:val="32"/>
          <w:szCs w:val="32"/>
          <w:u w:val="single"/>
        </w:rPr>
        <w:t xml:space="preserve"> </w:t>
      </w:r>
    </w:p>
    <w:p w14:paraId="7C352529" w14:textId="508E5B6E" w:rsidR="005A322F" w:rsidRDefault="005A322F" w:rsidP="00937F3A">
      <w:pPr>
        <w:widowControl w:val="0"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7B5C081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Bonus </w:t>
      </w:r>
      <w:r w:rsidR="00C804B0" w:rsidRPr="7B5C081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territoire </w:t>
      </w:r>
      <w:r w:rsidR="002643A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CTG</w:t>
      </w:r>
      <w:r w:rsidR="00AF2D9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 </w:t>
      </w:r>
      <w:r w:rsidR="00C804B0" w:rsidRPr="7B5C081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</w:t>
      </w:r>
    </w:p>
    <w:p w14:paraId="27478FB6" w14:textId="0079F35C" w:rsidR="00C14E15" w:rsidRDefault="00C14E15" w:rsidP="00937F3A">
      <w:pPr>
        <w:widowControl w:val="0"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Complément inclusif</w:t>
      </w:r>
    </w:p>
    <w:p w14:paraId="26CCAE2F" w14:textId="77777777" w:rsidR="005A322F" w:rsidRDefault="005A322F" w:rsidP="00135066">
      <w:pPr>
        <w:pStyle w:val="Titre"/>
        <w:ind w:right="-993"/>
      </w:pPr>
    </w:p>
    <w:p w14:paraId="114B8212" w14:textId="77777777" w:rsidR="00937F3A" w:rsidRPr="00837881" w:rsidRDefault="00937F3A" w:rsidP="00135066">
      <w:pPr>
        <w:pStyle w:val="Titre"/>
        <w:ind w:right="-993"/>
      </w:pP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33074C26" w14:textId="0D091396" w:rsidR="00135066" w:rsidRPr="00B570A8" w:rsidRDefault="00B570A8" w:rsidP="00B570A8">
      <w:pPr>
        <w:pStyle w:val="Titre"/>
        <w:ind w:left="7080" w:right="-993"/>
        <w:jc w:val="left"/>
        <w:rPr>
          <w:sz w:val="24"/>
          <w:szCs w:val="24"/>
        </w:rPr>
      </w:pPr>
      <w:r w:rsidRPr="00B570A8">
        <w:rPr>
          <w:sz w:val="24"/>
          <w:szCs w:val="24"/>
        </w:rPr>
        <w:t>Jui</w:t>
      </w:r>
      <w:r w:rsidR="00D55B8D">
        <w:rPr>
          <w:sz w:val="24"/>
          <w:szCs w:val="24"/>
        </w:rPr>
        <w:t>llet</w:t>
      </w:r>
      <w:r w:rsidRPr="00B570A8">
        <w:rPr>
          <w:sz w:val="24"/>
          <w:szCs w:val="24"/>
        </w:rPr>
        <w:t xml:space="preserve"> 202</w:t>
      </w:r>
      <w:r w:rsidR="1AD84BA1" w:rsidRPr="00B570A8">
        <w:rPr>
          <w:sz w:val="24"/>
          <w:szCs w:val="24"/>
        </w:rPr>
        <w:t>5</w:t>
      </w:r>
    </w:p>
    <w:p w14:paraId="5F301262" w14:textId="6932A932" w:rsidR="00135066" w:rsidRPr="00837881" w:rsidRDefault="00135066" w:rsidP="00135066">
      <w:pPr>
        <w:pStyle w:val="Titre"/>
        <w:ind w:right="-993"/>
        <w:jc w:val="left"/>
      </w:pPr>
    </w:p>
    <w:p w14:paraId="57554DE4" w14:textId="65DCFB44" w:rsidR="00135066" w:rsidRDefault="00135066" w:rsidP="00135066">
      <w:pPr>
        <w:pStyle w:val="Titre"/>
        <w:ind w:right="-993"/>
      </w:pPr>
    </w:p>
    <w:p w14:paraId="3EB9EE4B" w14:textId="31F1F87F" w:rsidR="00831799" w:rsidRDefault="00831799" w:rsidP="00135066">
      <w:pPr>
        <w:pStyle w:val="Titre"/>
        <w:ind w:right="-993"/>
      </w:pPr>
    </w:p>
    <w:p w14:paraId="1D37134E" w14:textId="77777777" w:rsidR="00831799" w:rsidRPr="00837881" w:rsidRDefault="00831799" w:rsidP="00135066">
      <w:pPr>
        <w:pStyle w:val="Titre"/>
        <w:ind w:right="-993"/>
      </w:pPr>
    </w:p>
    <w:p w14:paraId="7E9A0A1A" w14:textId="77777777" w:rsidR="00135066" w:rsidRPr="00837881" w:rsidRDefault="00135066" w:rsidP="00135066">
      <w:pPr>
        <w:pStyle w:val="Titre"/>
        <w:ind w:right="-993"/>
      </w:pPr>
    </w:p>
    <w:p w14:paraId="0497D1A3" w14:textId="77777777" w:rsidR="0069602B" w:rsidRPr="00837881" w:rsidRDefault="0069602B" w:rsidP="00F12A50">
      <w:pPr>
        <w:pStyle w:val="Titre"/>
        <w:ind w:right="-993"/>
        <w:jc w:val="left"/>
      </w:pP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A36499" w14:textId="7B483740" w:rsidR="00007513" w:rsidRDefault="00007513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5A2A">
        <w:rPr>
          <w:rFonts w:ascii="Times New Roman" w:eastAsia="Times New Roman" w:hAnsi="Times New Roman" w:cs="Times New Roman"/>
          <w:sz w:val="24"/>
          <w:szCs w:val="24"/>
        </w:rPr>
        <w:t xml:space="preserve">La branche Famille a structuré son action auprès des Accueils de loisirs sans hébergement autour des objectifs suivants : </w:t>
      </w:r>
    </w:p>
    <w:p w14:paraId="57571248" w14:textId="77777777" w:rsidR="00007513" w:rsidRPr="00405A2A" w:rsidRDefault="00007513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652E12" w14:textId="1567D187" w:rsidR="00007513" w:rsidRPr="00880CBC" w:rsidRDefault="00007513" w:rsidP="00880CBC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0CBC">
        <w:rPr>
          <w:rFonts w:ascii="Times New Roman" w:eastAsia="Times New Roman" w:hAnsi="Times New Roman" w:cs="Times New Roman"/>
          <w:sz w:val="24"/>
          <w:szCs w:val="24"/>
          <w:lang w:eastAsia="fr-FR"/>
        </w:rPr>
        <w:t>La conciliation entre vie familiale, professionnelle, et sociale et s’inscrit dans la continuité des actions conduites en matière de petite enfance ;</w:t>
      </w:r>
    </w:p>
    <w:p w14:paraId="3EA5412E" w14:textId="4ADDDF44" w:rsidR="00007513" w:rsidRDefault="00007513" w:rsidP="00880CBC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0CBC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L’épanouissement, la socialisation et la prise d’autonomie des enfants et adolescents ;</w:t>
      </w:r>
    </w:p>
    <w:p w14:paraId="535440E1" w14:textId="32C4A73D" w:rsidR="006E2734" w:rsidRPr="00880CBC" w:rsidRDefault="006E2734" w:rsidP="493F345E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493F345E">
        <w:rPr>
          <w:rFonts w:eastAsiaTheme="minorEastAsia"/>
          <w:sz w:val="24"/>
          <w:szCs w:val="24"/>
          <w:lang w:eastAsia="fr-FR"/>
        </w:rPr>
        <w:t>La lutte contre les inégalités en matière de réussite</w:t>
      </w:r>
      <w:r w:rsidR="442F0392" w:rsidRPr="493F345E">
        <w:rPr>
          <w:rFonts w:eastAsiaTheme="minorEastAsia"/>
          <w:sz w:val="24"/>
          <w:szCs w:val="24"/>
          <w:lang w:eastAsia="fr-FR"/>
        </w:rPr>
        <w:t>.</w:t>
      </w:r>
    </w:p>
    <w:p w14:paraId="0E8FA9C9" w14:textId="438FEDA9" w:rsidR="00007513" w:rsidRPr="00880CBC" w:rsidRDefault="00007513" w:rsidP="000B6B54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bookmarkEnd w:id="0"/>
    <w:p w14:paraId="590E6180" w14:textId="77777777" w:rsidR="00A11A37" w:rsidRPr="00A11A37" w:rsidRDefault="00A11A37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F9C5E97" w14:textId="72B15B80" w:rsidR="004F77AF" w:rsidRPr="00837881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1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</w:t>
      </w:r>
      <w:r w:rsidR="00BF4A3D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00837881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signée entre le gestionnaire</w:t>
      </w:r>
      <w:r w:rsidR="00505CE6" w:rsidRPr="0083788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42D20">
        <w:rPr>
          <w:rFonts w:ascii="Times New Roman" w:eastAsia="Times New Roman" w:hAnsi="Times New Roman" w:cs="Times New Roman"/>
          <w:sz w:val="24"/>
          <w:szCs w:val="24"/>
        </w:rPr>
        <w:t xml:space="preserve">e la structure </w:t>
      </w:r>
      <w:r w:rsidR="002643A8">
        <w:rPr>
          <w:rFonts w:ascii="Times New Roman" w:eastAsia="Times New Roman" w:hAnsi="Times New Roman" w:cs="Times New Roman"/>
          <w:sz w:val="24"/>
          <w:szCs w:val="24"/>
        </w:rPr>
        <w:t>ALSH</w:t>
      </w:r>
      <w:r w:rsidR="00942D20">
        <w:rPr>
          <w:rFonts w:ascii="Times New Roman" w:eastAsia="Times New Roman" w:hAnsi="Times New Roman" w:cs="Times New Roman"/>
          <w:sz w:val="24"/>
          <w:szCs w:val="24"/>
        </w:rPr>
        <w:t xml:space="preserve"> « Accueil </w:t>
      </w:r>
      <w:r w:rsidR="000750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2D20">
        <w:rPr>
          <w:rFonts w:ascii="Times New Roman" w:eastAsia="Times New Roman" w:hAnsi="Times New Roman" w:cs="Times New Roman"/>
          <w:sz w:val="24"/>
          <w:szCs w:val="24"/>
        </w:rPr>
        <w:t>dolescents</w:t>
      </w:r>
      <w:r w:rsidR="001C08AF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942D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942D20">
        <w:rPr>
          <w:rFonts w:ascii="Times New Roman" w:eastAsia="Times New Roman" w:hAnsi="Times New Roman" w:cs="Times New Roman"/>
          <w:sz w:val="24"/>
          <w:szCs w:val="24"/>
        </w:rPr>
        <w:t>af</w:t>
      </w:r>
      <w:r w:rsidR="00505CE6" w:rsidRPr="008378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2808BA25" w:rsidR="00E74652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pourcentage de financement est accessible sur le </w:t>
      </w:r>
      <w:r w:rsidR="0069602B" w:rsidRPr="00EC2FAD">
        <w:rPr>
          <w:rFonts w:ascii="Times New Roman" w:eastAsia="Times New Roman" w:hAnsi="Times New Roman" w:cs="Times New Roman"/>
          <w:color w:val="000000"/>
          <w:sz w:val="24"/>
          <w:szCs w:val="24"/>
        </w:rPr>
        <w:t>site c</w:t>
      </w:r>
      <w:r w:rsidRPr="00EC2FAD">
        <w:rPr>
          <w:rFonts w:ascii="Times New Roman" w:eastAsia="Times New Roman" w:hAnsi="Times New Roman" w:cs="Times New Roman"/>
          <w:color w:val="000000"/>
          <w:sz w:val="24"/>
          <w:szCs w:val="24"/>
        </w:rPr>
        <w:t>af.fr dans le cadre de la communication des barèmes annuels.</w:t>
      </w:r>
    </w:p>
    <w:p w14:paraId="71D9D855" w14:textId="77777777" w:rsidR="00AB4DCA" w:rsidRPr="00EC2FAD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839E" w14:textId="20B148AC" w:rsidR="00807518" w:rsidRPr="00837881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66905397"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>« Accueil</w:t>
      </w:r>
      <w:r w:rsidR="00942D20"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Adolescents »</w:t>
      </w:r>
    </w:p>
    <w:p w14:paraId="43FB221B" w14:textId="77777777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Hlk159516857"/>
    </w:p>
    <w:p w14:paraId="145841AC" w14:textId="4997FD85" w:rsidR="00D809EF" w:rsidRDefault="00D809EF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Caf </w:t>
      </w:r>
      <w:r w:rsidR="00910F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la </w:t>
      </w:r>
      <w:proofErr w:type="spellStart"/>
      <w:r w:rsidR="00910FB7">
        <w:rPr>
          <w:rFonts w:ascii="Times New Roman" w:eastAsia="Times New Roman" w:hAnsi="Times New Roman" w:cs="Times New Roman"/>
          <w:sz w:val="24"/>
          <w:szCs w:val="24"/>
          <w:lang w:eastAsia="fr-FR"/>
        </w:rPr>
        <w:t>Cmsa</w:t>
      </w:r>
      <w:proofErr w:type="spellEnd"/>
      <w:r w:rsidR="00910F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>verse</w:t>
      </w:r>
      <w:r w:rsidR="00910FB7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="00453B4A">
        <w:rPr>
          <w:rFonts w:ascii="Times New Roman" w:eastAsia="Times New Roman" w:hAnsi="Times New Roman" w:cs="Times New Roman"/>
          <w:sz w:val="24"/>
          <w:szCs w:val="24"/>
          <w:lang w:eastAsia="fr-FR"/>
        </w:rPr>
        <w:t>subvention</w:t>
      </w: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basée sur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nombre d’heures </w:t>
      </w:r>
      <w:r w:rsidR="007A6E35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réalisées nommées heures</w:t>
      </w:r>
      <w:r w:rsidR="007436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3392F">
        <w:rPr>
          <w:rFonts w:ascii="Times New Roman" w:eastAsia="Times New Roman" w:hAnsi="Times New Roman" w:cs="Times New Roman"/>
          <w:sz w:val="24"/>
          <w:szCs w:val="24"/>
          <w:lang w:eastAsia="fr-FR"/>
        </w:rPr>
        <w:t>de présence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436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effective (éventuellement arrondi à l’heure supérieure) </w:t>
      </w: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>selon les modalités de calcul détaillées dans la formule et le tableau ci-après :</w:t>
      </w:r>
    </w:p>
    <w:p w14:paraId="5A7145C0" w14:textId="77777777" w:rsidR="00910FB7" w:rsidRDefault="00910FB7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31BAB2" w14:textId="57DB4012" w:rsidR="00910FB7" w:rsidRPr="00A26B91" w:rsidRDefault="00910FB7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Caf</w:t>
      </w:r>
    </w:p>
    <w:p w14:paraId="18DC317D" w14:textId="77777777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18" w:type="dxa"/>
        <w:jc w:val="center"/>
        <w:tblLook w:val="04A0" w:firstRow="1" w:lastRow="0" w:firstColumn="1" w:lastColumn="0" w:noHBand="0" w:noVBand="1"/>
      </w:tblPr>
      <w:tblGrid>
        <w:gridCol w:w="1696"/>
        <w:gridCol w:w="435"/>
        <w:gridCol w:w="3109"/>
        <w:gridCol w:w="567"/>
        <w:gridCol w:w="860"/>
        <w:gridCol w:w="699"/>
        <w:gridCol w:w="1852"/>
      </w:tblGrid>
      <w:tr w:rsidR="00270ADE" w:rsidRPr="00837881" w14:paraId="24653E35" w14:textId="1BB14A79" w:rsidTr="00D305A4">
        <w:trPr>
          <w:jc w:val="center"/>
        </w:trPr>
        <w:tc>
          <w:tcPr>
            <w:tcW w:w="1696" w:type="dxa"/>
            <w:vAlign w:val="center"/>
          </w:tcPr>
          <w:p w14:paraId="58D44338" w14:textId="46376FDD" w:rsidR="00270ADE" w:rsidRPr="00837881" w:rsidRDefault="000B1D2E" w:rsidP="000B1D2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59590150"/>
            <w:bookmarkEnd w:id="1"/>
            <w:r w:rsidRPr="00DA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Nombre d’heures </w:t>
            </w:r>
            <w:r w:rsidR="0013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présence</w:t>
            </w:r>
          </w:p>
        </w:tc>
        <w:tc>
          <w:tcPr>
            <w:tcW w:w="435" w:type="dxa"/>
            <w:vAlign w:val="center"/>
          </w:tcPr>
          <w:p w14:paraId="6223963B" w14:textId="2813DD66" w:rsidR="00270ADE" w:rsidRPr="00837881" w:rsidRDefault="00837881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09" w:type="dxa"/>
            <w:vAlign w:val="center"/>
          </w:tcPr>
          <w:p w14:paraId="0A473BF0" w14:textId="7B8BB6EC" w:rsidR="00270ADE" w:rsidRPr="00837881" w:rsidRDefault="00942D20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Prix de revient </w:t>
            </w:r>
            <w:r w:rsidR="00AB4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dans la limite d’un prix plafond fixé annuellement par la Caf</w:t>
            </w:r>
            <w:r w:rsidR="00AB4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69D32C3E" w14:textId="34E0CC49" w:rsidR="00270ADE" w:rsidRPr="00837881" w:rsidRDefault="00837881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0" w:type="dxa"/>
            <w:vAlign w:val="center"/>
          </w:tcPr>
          <w:p w14:paraId="6555405B" w14:textId="19F1DFF0" w:rsidR="00270ADE" w:rsidRPr="00837881" w:rsidRDefault="000B1D2E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99" w:type="dxa"/>
            <w:vAlign w:val="center"/>
          </w:tcPr>
          <w:p w14:paraId="1292CA3D" w14:textId="1621A9B5" w:rsidR="00270ADE" w:rsidRPr="00837881" w:rsidRDefault="00837881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52" w:type="dxa"/>
            <w:vAlign w:val="center"/>
          </w:tcPr>
          <w:p w14:paraId="7B82B46F" w14:textId="4C26CD14" w:rsidR="00270ADE" w:rsidRPr="00837881" w:rsidRDefault="004845A9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Taux de ressortissants du régime général</w:t>
            </w:r>
            <w:r w:rsidR="00DA05F8" w:rsidRPr="00DA05F8">
              <w:rPr>
                <w:rStyle w:val="Appelnotedebasdep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</w:tr>
      <w:bookmarkEnd w:id="2"/>
    </w:tbl>
    <w:p w14:paraId="08DC9B4A" w14:textId="77777777" w:rsidR="00547980" w:rsidRDefault="00547980" w:rsidP="00547980">
      <w:pPr>
        <w:spacing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4BBCD" w14:textId="1B0FA6F5" w:rsidR="003579F5" w:rsidRDefault="003579F5" w:rsidP="00547980">
      <w:pPr>
        <w:spacing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Cmsa</w:t>
      </w:r>
      <w:proofErr w:type="spellEnd"/>
    </w:p>
    <w:p w14:paraId="2A5D2A58" w14:textId="77777777" w:rsidR="003579F5" w:rsidRPr="00D305A4" w:rsidRDefault="003579F5" w:rsidP="00D3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18" w:type="dxa"/>
        <w:jc w:val="center"/>
        <w:tblLook w:val="04A0" w:firstRow="1" w:lastRow="0" w:firstColumn="1" w:lastColumn="0" w:noHBand="0" w:noVBand="1"/>
      </w:tblPr>
      <w:tblGrid>
        <w:gridCol w:w="1696"/>
        <w:gridCol w:w="435"/>
        <w:gridCol w:w="3109"/>
        <w:gridCol w:w="567"/>
        <w:gridCol w:w="860"/>
        <w:gridCol w:w="699"/>
        <w:gridCol w:w="1852"/>
      </w:tblGrid>
      <w:tr w:rsidR="003579F5" w:rsidRPr="00837881" w14:paraId="29A75D28" w14:textId="77777777" w:rsidTr="00667DEB">
        <w:trPr>
          <w:jc w:val="center"/>
        </w:trPr>
        <w:tc>
          <w:tcPr>
            <w:tcW w:w="1696" w:type="dxa"/>
            <w:vAlign w:val="center"/>
          </w:tcPr>
          <w:p w14:paraId="3FDE520E" w14:textId="77777777" w:rsidR="003579F5" w:rsidRPr="00837881" w:rsidRDefault="003579F5" w:rsidP="00667DEB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Nombre d’heures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présence</w:t>
            </w:r>
          </w:p>
        </w:tc>
        <w:tc>
          <w:tcPr>
            <w:tcW w:w="435" w:type="dxa"/>
            <w:vAlign w:val="center"/>
          </w:tcPr>
          <w:p w14:paraId="4EFEC58B" w14:textId="77777777" w:rsidR="003579F5" w:rsidRPr="00837881" w:rsidRDefault="003579F5" w:rsidP="00667DE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09" w:type="dxa"/>
            <w:vAlign w:val="center"/>
          </w:tcPr>
          <w:p w14:paraId="1EED32E6" w14:textId="77777777" w:rsidR="003579F5" w:rsidRPr="00837881" w:rsidRDefault="003579F5" w:rsidP="00667DE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Prix de revient (dans la limite d’un prix plafond fixé annuellement par la Caf)</w:t>
            </w:r>
          </w:p>
        </w:tc>
        <w:tc>
          <w:tcPr>
            <w:tcW w:w="567" w:type="dxa"/>
            <w:vAlign w:val="center"/>
          </w:tcPr>
          <w:p w14:paraId="0CC66D63" w14:textId="77777777" w:rsidR="003579F5" w:rsidRPr="00837881" w:rsidRDefault="003579F5" w:rsidP="00667DE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0" w:type="dxa"/>
            <w:vAlign w:val="center"/>
          </w:tcPr>
          <w:p w14:paraId="335F1B8C" w14:textId="77777777" w:rsidR="003579F5" w:rsidRPr="00837881" w:rsidRDefault="003579F5" w:rsidP="00667DE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99" w:type="dxa"/>
            <w:vAlign w:val="center"/>
          </w:tcPr>
          <w:p w14:paraId="62B0A69E" w14:textId="77777777" w:rsidR="003579F5" w:rsidRPr="00837881" w:rsidRDefault="003579F5" w:rsidP="00667DE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52" w:type="dxa"/>
            <w:vAlign w:val="center"/>
          </w:tcPr>
          <w:p w14:paraId="2DF4F6A8" w14:textId="4279BFC2" w:rsidR="003579F5" w:rsidRPr="00837881" w:rsidRDefault="003579F5" w:rsidP="00667DE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Taux de ressortissants du régime </w:t>
            </w:r>
            <w:r w:rsidR="001551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agricole</w:t>
            </w:r>
            <w:r w:rsidRPr="00DA05F8">
              <w:rPr>
                <w:rStyle w:val="Appelnotedebasdep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</w:tr>
    </w:tbl>
    <w:p w14:paraId="5821B9E0" w14:textId="77777777" w:rsidR="003579F5" w:rsidRDefault="003579F5" w:rsidP="00547980">
      <w:pPr>
        <w:spacing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F9BF0" w14:textId="77777777" w:rsidR="00D00014" w:rsidRDefault="00D00014" w:rsidP="00547980">
      <w:pPr>
        <w:spacing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14683" w14:textId="151EF819" w:rsidR="006D7149" w:rsidRDefault="006D7149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159596491"/>
      <w:bookmarkStart w:id="4" w:name="_Hlk159517012"/>
      <w:bookmarkStart w:id="5" w:name="_Hlk159518182"/>
      <w:bookmarkStart w:id="6" w:name="_Hlk159594110"/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 complément inclusif </w:t>
      </w:r>
    </w:p>
    <w:p w14:paraId="0897CD71" w14:textId="53B52B1F" w:rsidR="001C08AF" w:rsidRDefault="002B3B32" w:rsidP="001C08AF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Il s’agit d’une aide financière </w:t>
      </w:r>
      <w:r w:rsidR="00737807"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complémentaire 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à la </w:t>
      </w:r>
      <w:r w:rsidR="0013392F">
        <w:rPr>
          <w:rStyle w:val="ui-provider"/>
          <w:rFonts w:ascii="Times New Roman" w:hAnsi="Times New Roman" w:cs="Times New Roman"/>
          <w:sz w:val="24"/>
          <w:szCs w:val="24"/>
        </w:rPr>
        <w:t>subvention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737807" w:rsidRPr="001C08AF">
        <w:rPr>
          <w:rStyle w:val="ui-provider"/>
          <w:rFonts w:ascii="Times New Roman" w:hAnsi="Times New Roman" w:cs="Times New Roman"/>
          <w:sz w:val="24"/>
          <w:szCs w:val="24"/>
        </w:rPr>
        <w:t>«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 Accueil Adolescents » versée pour toute heure d’accueil réalisée dans </w:t>
      </w:r>
      <w:r w:rsidR="001C08AF" w:rsidRPr="001C08AF">
        <w:rPr>
          <w:rStyle w:val="ui-provider"/>
          <w:rFonts w:ascii="Times New Roman" w:hAnsi="Times New Roman" w:cs="Times New Roman"/>
          <w:sz w:val="24"/>
          <w:szCs w:val="24"/>
        </w:rPr>
        <w:t>un «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> A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ccueil 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dolescent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> »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741803">
        <w:rPr>
          <w:rStyle w:val="ui-provider"/>
          <w:rFonts w:ascii="Times New Roman" w:hAnsi="Times New Roman" w:cs="Times New Roman"/>
          <w:sz w:val="24"/>
          <w:szCs w:val="24"/>
        </w:rPr>
        <w:t>par</w:t>
      </w:r>
      <w:r w:rsidR="00741803"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un enfant ou adolescent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bénéficiaire de l’</w:t>
      </w:r>
      <w:r w:rsidR="002643A8">
        <w:rPr>
          <w:rStyle w:val="ui-provider"/>
          <w:rFonts w:ascii="Times New Roman" w:hAnsi="Times New Roman" w:cs="Times New Roman"/>
          <w:sz w:val="24"/>
          <w:szCs w:val="24"/>
        </w:rPr>
        <w:t>AEEH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166C7FD3" w14:textId="77777777" w:rsidR="00893DA2" w:rsidRDefault="00893DA2" w:rsidP="001C08AF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66B4E149" w14:textId="77777777" w:rsidR="00292A3E" w:rsidRDefault="00292A3E" w:rsidP="001C08AF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4C5044EE" w14:textId="5274D24E" w:rsidR="0081187D" w:rsidRPr="001C08AF" w:rsidRDefault="0081187D" w:rsidP="001C08AF">
      <w:pPr>
        <w:shd w:val="clear" w:color="auto" w:fill="FFFFFF"/>
        <w:jc w:val="both"/>
        <w:rPr>
          <w:rStyle w:val="ui-provider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Cette mesure entre en vigueur au 1er janvier 2024</w:t>
      </w:r>
      <w:r w:rsidR="0013392F">
        <w:rPr>
          <w:rStyle w:val="ui-provider"/>
          <w:rFonts w:ascii="Times New Roman" w:hAnsi="Times New Roman" w:cs="Times New Roman"/>
          <w:sz w:val="24"/>
          <w:szCs w:val="24"/>
        </w:rPr>
        <w:t xml:space="preserve"> et se calcule </w:t>
      </w:r>
      <w:r w:rsidR="0040445F">
        <w:rPr>
          <w:rStyle w:val="ui-provider"/>
          <w:rFonts w:ascii="Times New Roman" w:hAnsi="Times New Roman" w:cs="Times New Roman"/>
          <w:sz w:val="24"/>
          <w:szCs w:val="24"/>
        </w:rPr>
        <w:t>selon les modalités détaillées ci-dessous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</w:p>
    <w:p w14:paraId="463F195B" w14:textId="77777777" w:rsidR="002B3B32" w:rsidRPr="002B3B32" w:rsidRDefault="002B3B32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709"/>
        <w:gridCol w:w="2551"/>
      </w:tblGrid>
      <w:tr w:rsidR="00EC2FAD" w:rsidRPr="00837881" w14:paraId="4AAEBF2D" w14:textId="77777777" w:rsidTr="00AB4DCA">
        <w:tc>
          <w:tcPr>
            <w:tcW w:w="5812" w:type="dxa"/>
          </w:tcPr>
          <w:p w14:paraId="0D6D926A" w14:textId="7C08A4B0" w:rsidR="00EC2FAD" w:rsidRPr="00837881" w:rsidRDefault="00EC2FAD" w:rsidP="00A15C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Nombre d’heures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C5E33">
              <w:rPr>
                <w:rFonts w:eastAsia="Times New Roman"/>
                <w:color w:val="000000"/>
              </w:rPr>
              <w:t>e présence</w:t>
            </w:r>
            <w:r w:rsidR="00AB4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d’enfants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bénéficiaires de l’</w:t>
            </w:r>
            <w:r w:rsidR="00264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AEEH</w:t>
            </w:r>
            <w:r w:rsidR="00D5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ouvrant droit </w:t>
            </w:r>
          </w:p>
        </w:tc>
        <w:tc>
          <w:tcPr>
            <w:tcW w:w="709" w:type="dxa"/>
          </w:tcPr>
          <w:p w14:paraId="123664B2" w14:textId="77777777" w:rsidR="00EC2FAD" w:rsidRPr="00837881" w:rsidRDefault="00EC2FAD" w:rsidP="00CD44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BC1AB39" w14:textId="5F522BDA" w:rsidR="00EC2FAD" w:rsidRPr="00837881" w:rsidRDefault="00EC2FAD" w:rsidP="00A15C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Montant horaire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4"/>
            </w:r>
          </w:p>
        </w:tc>
      </w:tr>
      <w:bookmarkEnd w:id="3"/>
    </w:tbl>
    <w:p w14:paraId="4427EDE5" w14:textId="77777777" w:rsidR="002B3B32" w:rsidRDefault="002B3B32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164C8C0A" w14:textId="66EE0248" w:rsidR="00007513" w:rsidRPr="00B45E78" w:rsidRDefault="000633E6" w:rsidP="00007513">
      <w:pPr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bookmarkStart w:id="7" w:name="_Hlk168667732"/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Le versement d’un acompte en cours d’année </w:t>
      </w:r>
      <w:r w:rsidR="00924DEB">
        <w:rPr>
          <w:rStyle w:val="ui-provider"/>
          <w:rFonts w:ascii="Times New Roman" w:hAnsi="Times New Roman" w:cs="Times New Roman"/>
          <w:sz w:val="24"/>
          <w:szCs w:val="24"/>
        </w:rPr>
        <w:t>pour le complément inclusif sera limité à 30% maximum du montant prévisionnel.</w:t>
      </w:r>
      <w:r w:rsidR="00906DB1">
        <w:rPr>
          <w:rStyle w:val="ui-provider"/>
          <w:rFonts w:ascii="Times New Roman" w:hAnsi="Times New Roman" w:cs="Times New Roman"/>
          <w:sz w:val="24"/>
          <w:szCs w:val="24"/>
        </w:rPr>
        <w:t xml:space="preserve"> Aucun acompte ne sera versé lors de la 1</w:t>
      </w:r>
      <w:r w:rsidR="00906DB1" w:rsidRPr="0005254B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ère</w:t>
      </w:r>
      <w:r w:rsidR="00906DB1">
        <w:rPr>
          <w:rStyle w:val="ui-provider"/>
          <w:rFonts w:ascii="Times New Roman" w:hAnsi="Times New Roman" w:cs="Times New Roman"/>
          <w:sz w:val="24"/>
          <w:szCs w:val="24"/>
        </w:rPr>
        <w:t xml:space="preserve"> année de mise en œuvre de ce financement.</w:t>
      </w:r>
    </w:p>
    <w:p w14:paraId="11A515DB" w14:textId="77777777" w:rsidR="00007513" w:rsidRDefault="00007513" w:rsidP="00007513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bookmarkEnd w:id="7"/>
    <w:p w14:paraId="3234EC93" w14:textId="77777777" w:rsidR="001B5963" w:rsidRDefault="001B5963" w:rsidP="493F345E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417BEB48" w14:textId="12A0EBB9" w:rsidR="001B5963" w:rsidRDefault="0069602B" w:rsidP="493F345E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8" w:name="_Hlk25054850"/>
      <w:bookmarkStart w:id="9" w:name="_Hlk159518263"/>
      <w:bookmarkStart w:id="10" w:name="_Hlk159517400"/>
      <w:bookmarkEnd w:id="4"/>
      <w:bookmarkEnd w:id="5"/>
      <w:r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>Le</w:t>
      </w:r>
      <w:r w:rsidR="00595B0F"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financement</w:t>
      </w:r>
      <w:r w:rsidR="002749BE"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du bonus territoire</w:t>
      </w:r>
      <w:r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643A8" w:rsidRPr="493F345E">
        <w:rPr>
          <w:rFonts w:ascii="Times New Roman" w:hAnsi="Times New Roman" w:cs="Times New Roman"/>
          <w:b/>
          <w:bCs/>
          <w:sz w:val="28"/>
          <w:szCs w:val="28"/>
          <w:u w:val="single"/>
        </w:rPr>
        <w:t>CTG</w:t>
      </w:r>
      <w:commentRangeStart w:id="11"/>
      <w:commentRangeEnd w:id="11"/>
      <w:r w:rsidR="001B5963">
        <w:commentReference w:id="11"/>
      </w:r>
      <w:bookmarkStart w:id="12" w:name="_Hlk158900471"/>
      <w:bookmarkEnd w:id="8"/>
    </w:p>
    <w:p w14:paraId="16765EFB" w14:textId="200A2D63" w:rsidR="00BC7268" w:rsidRDefault="00BC7268" w:rsidP="0097760A">
      <w:pPr>
        <w:shd w:val="clear" w:color="auto" w:fill="FFFFFF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Offre existante :</w:t>
      </w:r>
    </w:p>
    <w:p w14:paraId="15270367" w14:textId="2BA1A37B" w:rsidR="008C6216" w:rsidRPr="008C6216" w:rsidRDefault="008C6216" w:rsidP="008C621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8C621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2643A8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8C621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  <w:commentRangeStart w:id="13"/>
      <w:r w:rsidRPr="008C6216">
        <w:rPr>
          <w:rFonts w:ascii="Times New Roman" w:eastAsia="MS Mincho" w:hAnsi="Times New Roman" w:cs="Times New Roman"/>
          <w:sz w:val="24"/>
          <w:szCs w:val="24"/>
          <w:lang w:eastAsia="fr-FR"/>
        </w:rPr>
        <w:t>de</w:t>
      </w:r>
      <w:commentRangeEnd w:id="13"/>
      <w:r w:rsidR="002643A8">
        <w:rPr>
          <w:rStyle w:val="Marquedecommentaire"/>
        </w:rPr>
        <w:commentReference w:id="13"/>
      </w:r>
      <w:r w:rsidRPr="008C621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l’année N-1 </w:t>
      </w:r>
      <w:r w:rsidR="001D655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comptabilisé lors de la charge à payer </w:t>
      </w:r>
      <w:r w:rsidRPr="008C6216">
        <w:rPr>
          <w:rFonts w:ascii="Times New Roman" w:eastAsia="Times New Roman" w:hAnsi="Times New Roman" w:cs="Times New Roman"/>
          <w:b/>
          <w:sz w:val="24"/>
          <w:lang w:eastAsia="fr-FR"/>
        </w:rPr>
        <w:t>/</w:t>
      </w:r>
      <w:r w:rsidR="001D6556">
        <w:rPr>
          <w:rFonts w:ascii="Times New Roman" w:eastAsia="Times New Roman" w:hAnsi="Times New Roman" w:cs="Times New Roman"/>
          <w:b/>
          <w:sz w:val="24"/>
          <w:lang w:eastAsia="fr-FR"/>
        </w:rPr>
        <w:t xml:space="preserve"> </w:t>
      </w:r>
      <w:r w:rsidRPr="008C6216">
        <w:rPr>
          <w:rFonts w:ascii="Times New Roman" w:eastAsia="Times New Roman" w:hAnsi="Times New Roman" w:cs="Times New Roman"/>
          <w:sz w:val="24"/>
          <w:lang w:eastAsia="fr-FR"/>
        </w:rPr>
        <w:t>Nombre total d’heures d’accueil</w:t>
      </w:r>
      <w:r w:rsidR="00170FF8">
        <w:rPr>
          <w:rStyle w:val="Appelnotedebasdep"/>
          <w:rFonts w:ascii="Times New Roman" w:eastAsia="Times New Roman" w:hAnsi="Times New Roman" w:cs="Times New Roman"/>
          <w:sz w:val="24"/>
          <w:lang w:eastAsia="fr-FR"/>
        </w:rPr>
        <w:footnoteReference w:id="5"/>
      </w:r>
      <w:r w:rsidRPr="008C6216">
        <w:rPr>
          <w:rFonts w:ascii="Times New Roman" w:eastAsia="Times New Roman" w:hAnsi="Times New Roman" w:cs="Times New Roman"/>
          <w:sz w:val="24"/>
          <w:lang w:eastAsia="fr-FR"/>
        </w:rPr>
        <w:t xml:space="preserve"> (Périscolaire, Extrascolaire, Accueil adolescents ) soutenues par la collectivité et bénéficiant de la </w:t>
      </w:r>
      <w:r w:rsidR="003118F3">
        <w:rPr>
          <w:rFonts w:ascii="Times New Roman" w:eastAsia="Times New Roman" w:hAnsi="Times New Roman" w:cs="Times New Roman"/>
          <w:sz w:val="24"/>
          <w:lang w:eastAsia="fr-FR"/>
        </w:rPr>
        <w:t>subvention</w:t>
      </w:r>
      <w:r w:rsidR="003118F3" w:rsidRPr="008C6216"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="002643A8">
        <w:rPr>
          <w:rFonts w:ascii="Times New Roman" w:eastAsia="Times New Roman" w:hAnsi="Times New Roman" w:cs="Times New Roman"/>
          <w:sz w:val="24"/>
          <w:lang w:eastAsia="fr-FR"/>
        </w:rPr>
        <w:t>ALSH</w:t>
      </w:r>
      <w:r w:rsidRPr="008C6216">
        <w:rPr>
          <w:rFonts w:ascii="Times New Roman" w:eastAsia="Times New Roman" w:hAnsi="Times New Roman" w:cs="Times New Roman"/>
          <w:sz w:val="24"/>
          <w:lang w:eastAsia="fr-FR"/>
        </w:rPr>
        <w:t xml:space="preserve">  au titre du régime général sur le territoire de compétence donné.</w:t>
      </w:r>
    </w:p>
    <w:p w14:paraId="13C2CD88" w14:textId="07DD84C1" w:rsidR="00E23F7E" w:rsidRPr="008C6216" w:rsidRDefault="00E23F7E" w:rsidP="00E23F7E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2643A8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l’année N-1 comptabilisé lors de la charge à payer </w:t>
      </w:r>
      <w:r w:rsidRPr="00F31688">
        <w:rPr>
          <w:rFonts w:ascii="Times New Roman" w:eastAsia="Times New Roman" w:hAnsi="Times New Roman" w:cs="Times New Roman"/>
          <w:b/>
          <w:sz w:val="24"/>
          <w:lang w:eastAsia="fr-FR"/>
        </w:rPr>
        <w:t xml:space="preserve">/ </w:t>
      </w:r>
      <w:r w:rsidRPr="00F31688">
        <w:rPr>
          <w:rFonts w:ascii="Times New Roman" w:eastAsia="Times New Roman" w:hAnsi="Times New Roman" w:cs="Times New Roman"/>
          <w:sz w:val="24"/>
          <w:lang w:eastAsia="fr-FR"/>
        </w:rPr>
        <w:t>Nombre total d’heures d’accueil</w:t>
      </w:r>
      <w:r w:rsidRPr="00F31688">
        <w:rPr>
          <w:rStyle w:val="Appelnotedebasdep"/>
          <w:rFonts w:ascii="Times New Roman" w:eastAsia="Times New Roman" w:hAnsi="Times New Roman" w:cs="Times New Roman"/>
          <w:sz w:val="24"/>
          <w:lang w:eastAsia="fr-FR"/>
        </w:rPr>
        <w:footnoteReference w:id="6"/>
      </w:r>
      <w:r w:rsidRPr="00F31688">
        <w:rPr>
          <w:rFonts w:ascii="Times New Roman" w:eastAsia="Times New Roman" w:hAnsi="Times New Roman" w:cs="Times New Roman"/>
          <w:sz w:val="24"/>
          <w:lang w:eastAsia="fr-FR"/>
        </w:rPr>
        <w:t xml:space="preserve"> Accueil adolescents soutenues par la collectivité et bénéficiant de la subvention </w:t>
      </w:r>
      <w:r w:rsidR="002643A8">
        <w:rPr>
          <w:rFonts w:ascii="Times New Roman" w:eastAsia="Times New Roman" w:hAnsi="Times New Roman" w:cs="Times New Roman"/>
          <w:sz w:val="24"/>
          <w:lang w:eastAsia="fr-FR"/>
        </w:rPr>
        <w:t>ALSH</w:t>
      </w:r>
      <w:r w:rsidRPr="00F31688">
        <w:rPr>
          <w:rFonts w:ascii="Times New Roman" w:eastAsia="Times New Roman" w:hAnsi="Times New Roman" w:cs="Times New Roman"/>
          <w:sz w:val="24"/>
          <w:lang w:eastAsia="fr-FR"/>
        </w:rPr>
        <w:t xml:space="preserve"> au titre du régime général sur le territoire de compétence donné.</w:t>
      </w:r>
    </w:p>
    <w:p w14:paraId="536643E1" w14:textId="7AA3315A" w:rsidR="00E23F7E" w:rsidRDefault="00E23F7E" w:rsidP="493F345E">
      <w:pPr>
        <w:shd w:val="clear" w:color="auto" w:fill="FFFFFF" w:themeFill="background1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12"/>
    <w:p w14:paraId="3A25EA00" w14:textId="49FE0B76" w:rsidR="00BC7268" w:rsidRPr="00737807" w:rsidRDefault="00BC7268" w:rsidP="0097760A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Fonts w:ascii="Times New Roman" w:hAnsi="Times New Roman" w:cs="Times New Roman"/>
          <w:b/>
          <w:bCs/>
          <w:sz w:val="24"/>
          <w:szCs w:val="24"/>
          <w:u w:val="single"/>
        </w:rPr>
        <w:t>Offre nouvelle</w:t>
      </w:r>
      <w:r w:rsidR="008C6216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76FDA300" w14:textId="0E602068" w:rsidR="006473C1" w:rsidRDefault="00BC7268" w:rsidP="00007513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bookmarkStart w:id="15" w:name="_Hlk168667783"/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 </w:t>
      </w:r>
      <w:bookmarkStart w:id="16" w:name="_Hlk168578775"/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A compter du 1er janvier 2024, la branche Famille restaure la possibilité de développement d’actions enfance/jeunesse dans le cadre du bonus territoire </w:t>
      </w:r>
      <w:r w:rsidR="002643A8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. Les heures nouvelles feront l’objet d’un financement 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allant au-delà des heures existantes </w:t>
      </w:r>
      <w:r w:rsidR="00DF33A6">
        <w:rPr>
          <w:rStyle w:val="ui-provider"/>
          <w:rFonts w:ascii="Times New Roman" w:hAnsi="Times New Roman" w:cs="Times New Roman"/>
          <w:sz w:val="24"/>
          <w:szCs w:val="24"/>
        </w:rPr>
        <w:t>contractualisées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lors de la mise en place de la </w:t>
      </w:r>
      <w:r w:rsidR="002643A8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en cours (</w:t>
      </w:r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>dans la limite de 25% de plus que les heures existantes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à partir du 1</w:t>
      </w:r>
      <w:r w:rsidR="00007513" w:rsidRPr="00CE0587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er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880CBC">
        <w:rPr>
          <w:rStyle w:val="ui-provider"/>
          <w:rFonts w:ascii="Times New Roman" w:hAnsi="Times New Roman" w:cs="Times New Roman"/>
          <w:sz w:val="24"/>
          <w:szCs w:val="24"/>
        </w:rPr>
        <w:t>j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>anvier 202</w:t>
      </w:r>
      <w:r w:rsidR="00AB4DCA">
        <w:rPr>
          <w:rStyle w:val="ui-provider"/>
          <w:rFonts w:ascii="Times New Roman" w:hAnsi="Times New Roman" w:cs="Times New Roman"/>
          <w:sz w:val="24"/>
          <w:szCs w:val="24"/>
        </w:rPr>
        <w:t>4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>)</w:t>
      </w:r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0912BC32" w14:textId="77777777" w:rsidR="00FD2731" w:rsidRPr="00FE4382" w:rsidRDefault="00FD2731" w:rsidP="00007513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bookmarkEnd w:id="15"/>
    <w:bookmarkEnd w:id="16"/>
    <w:p w14:paraId="47A259E8" w14:textId="5BB9A1EB" w:rsidR="002749BE" w:rsidRDefault="002749BE" w:rsidP="002749BE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24"/>
          <w:szCs w:val="24"/>
        </w:rPr>
      </w:pP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Le montant du bonus territoire </w:t>
      </w:r>
      <w:r w:rsidR="002643A8">
        <w:rPr>
          <w:rFonts w:ascii="Times New Roman" w:hAnsi="Times New Roman" w:cs="Times New Roman"/>
          <w:b/>
          <w:sz w:val="24"/>
          <w:szCs w:val="24"/>
          <w:u w:val="single"/>
        </w:rPr>
        <w:t>CTG</w:t>
      </w: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s’établit donc ainsi</w:t>
      </w:r>
      <w:r w:rsidRPr="00837881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4D6A67F9" w14:textId="2807463F" w:rsidR="00D82562" w:rsidRPr="00AB4DCA" w:rsidRDefault="00D82562" w:rsidP="00D82562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bookmarkStart w:id="17" w:name="_Hlk161416123"/>
      <w:bookmarkEnd w:id="6"/>
      <w:bookmarkEnd w:id="9"/>
      <w:bookmarkEnd w:id="10"/>
    </w:p>
    <w:tbl>
      <w:tblPr>
        <w:tblStyle w:val="Grilledutableau"/>
        <w:tblW w:w="9209" w:type="dxa"/>
        <w:jc w:val="right"/>
        <w:tblLook w:val="04A0" w:firstRow="1" w:lastRow="0" w:firstColumn="1" w:lastColumn="0" w:noHBand="0" w:noVBand="1"/>
      </w:tblPr>
      <w:tblGrid>
        <w:gridCol w:w="2263"/>
        <w:gridCol w:w="567"/>
        <w:gridCol w:w="1701"/>
        <w:gridCol w:w="464"/>
        <w:gridCol w:w="1379"/>
        <w:gridCol w:w="567"/>
        <w:gridCol w:w="2268"/>
      </w:tblGrid>
      <w:tr w:rsidR="00AB4DCA" w14:paraId="3D939A14" w14:textId="77777777" w:rsidTr="00302344">
        <w:trPr>
          <w:trHeight w:val="2123"/>
          <w:jc w:val="right"/>
        </w:trPr>
        <w:tc>
          <w:tcPr>
            <w:tcW w:w="2263" w:type="dxa"/>
            <w:vAlign w:val="center"/>
          </w:tcPr>
          <w:p w14:paraId="4A2830A3" w14:textId="60F77809" w:rsidR="00AB4DCA" w:rsidRDefault="00E325CE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Nombre d’heures déclaré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le partenaire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</w:t>
            </w:r>
            <w:r>
              <w:rPr>
                <w:rFonts w:eastAsia="Times New Roman"/>
              </w:rPr>
              <w:t xml:space="preserve">près application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eastAsia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taux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plafonné à l’existant</w:t>
            </w:r>
          </w:p>
        </w:tc>
        <w:tc>
          <w:tcPr>
            <w:tcW w:w="567" w:type="dxa"/>
            <w:vAlign w:val="center"/>
          </w:tcPr>
          <w:p w14:paraId="02DEC824" w14:textId="787B396D" w:rsidR="00AB4DCA" w:rsidRDefault="00AB4DCA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37B0C846" w14:textId="1492CC34" w:rsidR="00AB4DCA" w:rsidRDefault="00AB4DCA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Montant </w:t>
            </w:r>
            <w:r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7"/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forfaitaire </w:t>
            </w:r>
            <w:r w:rsidR="00294569">
              <w:rPr>
                <w:rFonts w:ascii="Times New Roman" w:eastAsia="Times New Roman" w:hAnsi="Times New Roman" w:cs="Times New Roman"/>
                <w:sz w:val="24"/>
                <w:szCs w:val="24"/>
              </w:rPr>
              <w:t>par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heure de l’offre existante</w:t>
            </w:r>
          </w:p>
        </w:tc>
        <w:tc>
          <w:tcPr>
            <w:tcW w:w="464" w:type="dxa"/>
            <w:vAlign w:val="center"/>
          </w:tcPr>
          <w:p w14:paraId="13FFEBF1" w14:textId="5CDB53D6" w:rsidR="00AB4DCA" w:rsidRDefault="00AB4DCA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9" w:type="dxa"/>
            <w:vAlign w:val="center"/>
          </w:tcPr>
          <w:p w14:paraId="1B56816A" w14:textId="77777777" w:rsidR="00AB4DCA" w:rsidRPr="00737807" w:rsidRDefault="00AB4DCA" w:rsidP="00DC07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d’heures Nouvelles </w:t>
            </w:r>
            <w:r w:rsidRPr="00737807"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8"/>
            </w:r>
          </w:p>
          <w:p w14:paraId="5C0B441B" w14:textId="52C79EC5" w:rsidR="00AB4DCA" w:rsidRDefault="0046061E" w:rsidP="00605107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>plafonnées</w:t>
            </w:r>
          </w:p>
        </w:tc>
        <w:tc>
          <w:tcPr>
            <w:tcW w:w="567" w:type="dxa"/>
            <w:vAlign w:val="center"/>
          </w:tcPr>
          <w:p w14:paraId="3740AB8E" w14:textId="67B84848" w:rsidR="00AB4DCA" w:rsidRDefault="00AB4DCA" w:rsidP="000016E9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vAlign w:val="center"/>
          </w:tcPr>
          <w:p w14:paraId="0B13E3C9" w14:textId="7B85A2D0" w:rsidR="00AB4DCA" w:rsidRPr="00737807" w:rsidRDefault="00AB4DCA" w:rsidP="00AB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Barème nouvelle heure </w:t>
            </w:r>
            <w:r w:rsidR="002643A8">
              <w:rPr>
                <w:rFonts w:ascii="Times New Roman" w:eastAsia="Times New Roman" w:hAnsi="Times New Roman" w:cs="Times New Roman"/>
                <w:sz w:val="24"/>
                <w:szCs w:val="24"/>
              </w:rPr>
              <w:t>ALSH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  Accueil Adolescents »</w:t>
            </w:r>
          </w:p>
          <w:p w14:paraId="47024811" w14:textId="77777777" w:rsidR="00AB4DCA" w:rsidRDefault="00AB4DCA" w:rsidP="00D82562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</w:p>
        </w:tc>
      </w:tr>
    </w:tbl>
    <w:p w14:paraId="0EBBBA56" w14:textId="510D7EA3" w:rsidR="001B5963" w:rsidRDefault="001B5963" w:rsidP="493F345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A4DD28D" w14:textId="6BF59252" w:rsidR="00280EE6" w:rsidRDefault="00280EE6" w:rsidP="00280EE6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Le bonus territoire </w:t>
      </w:r>
      <w:r w:rsidR="002643A8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est plafonné de telle sorte que la somme des subventions de fonctionnement sur fonds nationaux (</w:t>
      </w:r>
      <w:r w:rsidR="003118F3">
        <w:rPr>
          <w:rStyle w:val="ui-provider"/>
          <w:rFonts w:ascii="Times New Roman" w:hAnsi="Times New Roman" w:cs="Times New Roman"/>
          <w:sz w:val="24"/>
          <w:szCs w:val="24"/>
        </w:rPr>
        <w:t>subvention</w:t>
      </w:r>
      <w:r w:rsidR="008E5FAD">
        <w:rPr>
          <w:rStyle w:val="ui-provider"/>
          <w:rFonts w:ascii="Times New Roman" w:hAnsi="Times New Roman" w:cs="Times New Roman"/>
          <w:sz w:val="24"/>
          <w:szCs w:val="24"/>
        </w:rPr>
        <w:t xml:space="preserve"> accueil adolescent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bonus territoire </w:t>
      </w:r>
      <w:r w:rsidR="002643A8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fonds publics et territoires…) ne dépasse pas 80% des charges de </w:t>
      </w:r>
      <w:r w:rsidR="00935488">
        <w:rPr>
          <w:rStyle w:val="ui-provider"/>
          <w:rFonts w:ascii="Times New Roman" w:hAnsi="Times New Roman" w:cs="Times New Roman"/>
          <w:sz w:val="24"/>
          <w:szCs w:val="24"/>
        </w:rPr>
        <w:t>l’accueil Adolescent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En cas de dépassement, l’écrêtement se fera sur le montant du bonus territoire </w:t>
      </w:r>
      <w:r w:rsidR="002643A8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60842567" w14:textId="77777777" w:rsidR="00531DB3" w:rsidRDefault="00531DB3" w:rsidP="00280EE6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bookmarkEnd w:id="17"/>
    <w:p w14:paraId="0282E8FC" w14:textId="0775F51C" w:rsidR="00280EE6" w:rsidRPr="00AB4DCA" w:rsidRDefault="00531DB3" w:rsidP="493F345E">
      <w:pPr>
        <w:shd w:val="clear" w:color="auto" w:fill="FFFFFF" w:themeFill="background1"/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  <w:lang w:eastAsia="ja-JP"/>
        </w:rPr>
      </w:pPr>
      <w:r w:rsidRPr="493F345E">
        <w:rPr>
          <w:rStyle w:val="ui-provider"/>
          <w:rFonts w:ascii="Times New Roman" w:hAnsi="Times New Roman" w:cs="Times New Roman"/>
          <w:sz w:val="24"/>
          <w:szCs w:val="24"/>
        </w:rPr>
        <w:t xml:space="preserve">Le versement d’un </w:t>
      </w:r>
      <w:r w:rsidR="00723096" w:rsidRPr="493F345E">
        <w:rPr>
          <w:rStyle w:val="ui-provider"/>
          <w:rFonts w:ascii="Times New Roman" w:hAnsi="Times New Roman" w:cs="Times New Roman"/>
          <w:sz w:val="24"/>
          <w:szCs w:val="24"/>
        </w:rPr>
        <w:t xml:space="preserve">ou plusieurs </w:t>
      </w:r>
      <w:r w:rsidRPr="493F345E">
        <w:rPr>
          <w:rStyle w:val="ui-provider"/>
          <w:rFonts w:ascii="Times New Roman" w:hAnsi="Times New Roman" w:cs="Times New Roman"/>
          <w:sz w:val="24"/>
          <w:szCs w:val="24"/>
        </w:rPr>
        <w:t>acompte</w:t>
      </w:r>
      <w:r w:rsidR="00723096" w:rsidRPr="493F345E">
        <w:rPr>
          <w:rStyle w:val="ui-provider"/>
          <w:rFonts w:ascii="Times New Roman" w:hAnsi="Times New Roman" w:cs="Times New Roman"/>
          <w:sz w:val="24"/>
          <w:szCs w:val="24"/>
        </w:rPr>
        <w:t>s</w:t>
      </w:r>
      <w:r w:rsidR="00064472" w:rsidRPr="493F345E">
        <w:rPr>
          <w:rStyle w:val="ui-provider"/>
          <w:rFonts w:ascii="Times New Roman" w:hAnsi="Times New Roman" w:cs="Times New Roman"/>
          <w:sz w:val="24"/>
          <w:szCs w:val="24"/>
        </w:rPr>
        <w:t xml:space="preserve"> en cours d’année est possible et limité à 70% maximum </w:t>
      </w:r>
      <w:r w:rsidR="0056767F" w:rsidRPr="493F345E">
        <w:rPr>
          <w:rStyle w:val="ui-provider"/>
          <w:rFonts w:ascii="Times New Roman" w:hAnsi="Times New Roman" w:cs="Times New Roman"/>
          <w:sz w:val="24"/>
          <w:szCs w:val="24"/>
        </w:rPr>
        <w:t>du montant prévisionnel.</w:t>
      </w:r>
    </w:p>
    <w:sectPr w:rsidR="00280EE6" w:rsidRPr="00AB4DCA" w:rsidSect="0069602B">
      <w:footerReference w:type="defaul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Francoise JOLIVET-MPUTU 755" w:date="2024-06-04T16:25:00Z" w:initials="FJM7">
    <w:p w14:paraId="7BFBCF5D" w14:textId="77777777" w:rsidR="00A54004" w:rsidRDefault="00A54004" w:rsidP="00386054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d="13" w:author="Francoise JOLIVET-MPUTU 755" w:date="2025-07-18T12:09:00Z" w:initials="FJ">
    <w:p w14:paraId="6FB7B2BC" w14:textId="77777777" w:rsidR="002643A8" w:rsidRDefault="002643A8" w:rsidP="002643A8">
      <w:pPr>
        <w:pStyle w:val="Commentaire"/>
      </w:pPr>
      <w:r>
        <w:rPr>
          <w:rStyle w:val="Marquedecommentaire"/>
        </w:rPr>
        <w:annotationRef/>
      </w:r>
      <w:r>
        <w:t>A adapter selon la situation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FBCF5D" w15:done="0"/>
  <w15:commentEx w15:paraId="6FB7B2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09BE87" w16cex:dateUtc="2024-06-04T14:25:00Z"/>
  <w16cex:commentExtensible w16cex:durableId="1BEC2028" w16cex:dateUtc="2025-07-18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FBCF5D" w16cid:durableId="2A09BE87"/>
  <w16cid:commentId w16cid:paraId="6FB7B2BC" w16cid:durableId="1BEC20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EC1B" w14:textId="77777777" w:rsidR="00E90075" w:rsidRDefault="00E90075" w:rsidP="00CD3EEC">
      <w:pPr>
        <w:spacing w:after="0" w:line="240" w:lineRule="auto"/>
      </w:pPr>
      <w:r>
        <w:separator/>
      </w:r>
    </w:p>
  </w:endnote>
  <w:endnote w:type="continuationSeparator" w:id="0">
    <w:p w14:paraId="3D306F3C" w14:textId="77777777" w:rsidR="00E90075" w:rsidRDefault="00E90075" w:rsidP="00C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B999" w14:textId="77777777" w:rsidR="00E90075" w:rsidRDefault="00E90075" w:rsidP="00CD3EEC">
      <w:pPr>
        <w:spacing w:after="0" w:line="240" w:lineRule="auto"/>
      </w:pPr>
      <w:r>
        <w:separator/>
      </w:r>
    </w:p>
  </w:footnote>
  <w:footnote w:type="continuationSeparator" w:id="0">
    <w:p w14:paraId="141AF28E" w14:textId="77777777" w:rsidR="00E90075" w:rsidRDefault="00E90075" w:rsidP="00CD3EEC">
      <w:pPr>
        <w:spacing w:after="0" w:line="240" w:lineRule="auto"/>
      </w:pPr>
      <w:r>
        <w:continuationSeparator/>
      </w:r>
    </w:p>
  </w:footnote>
  <w:footnote w:id="1">
    <w:p w14:paraId="07964512" w14:textId="6135C1A1" w:rsidR="00DA05F8" w:rsidRDefault="00DA05F8">
      <w:pPr>
        <w:pStyle w:val="Notedebasdepage"/>
      </w:pPr>
      <w:r>
        <w:rPr>
          <w:rStyle w:val="Appelnotedebasdep"/>
        </w:rPr>
        <w:footnoteRef/>
      </w:r>
      <w:r>
        <w:t xml:space="preserve"> Tel que défini dans la convention d’objectifs et de financement </w:t>
      </w:r>
    </w:p>
  </w:footnote>
  <w:footnote w:id="2">
    <w:p w14:paraId="14AD7E02" w14:textId="77777777" w:rsidR="003579F5" w:rsidRDefault="003579F5" w:rsidP="003579F5">
      <w:pPr>
        <w:pStyle w:val="Notedebasdepage"/>
      </w:pPr>
      <w:r>
        <w:rPr>
          <w:rStyle w:val="Appelnotedebasdep"/>
        </w:rPr>
        <w:footnoteRef/>
      </w:r>
      <w:r>
        <w:t xml:space="preserve"> Tel que défini dans la convention d’objectifs et de financement </w:t>
      </w:r>
    </w:p>
  </w:footnote>
  <w:footnote w:id="3">
    <w:p w14:paraId="6D29663D" w14:textId="77777777" w:rsidR="00EC2FAD" w:rsidRPr="00737807" w:rsidRDefault="00EC2FAD" w:rsidP="00EC2FAD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737807">
        <w:rPr>
          <w:sz w:val="18"/>
          <w:szCs w:val="18"/>
        </w:rPr>
        <w:t xml:space="preserve">Sont comptabilisés les enfants du régime général et du régime agricole </w:t>
      </w:r>
    </w:p>
  </w:footnote>
  <w:footnote w:id="4">
    <w:p w14:paraId="6E6925D5" w14:textId="6C678018" w:rsidR="00EC2FAD" w:rsidRPr="00737807" w:rsidRDefault="00EC2FAD">
      <w:pPr>
        <w:pStyle w:val="Notedebasdepage"/>
        <w:rPr>
          <w:sz w:val="18"/>
          <w:szCs w:val="18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Défini par la Cnaf et publié sur le Caf.</w:t>
      </w:r>
      <w:r w:rsidR="005C5E33">
        <w:rPr>
          <w:sz w:val="18"/>
          <w:szCs w:val="18"/>
        </w:rPr>
        <w:t>f</w:t>
      </w:r>
      <w:r w:rsidRPr="00737807">
        <w:rPr>
          <w:sz w:val="18"/>
          <w:szCs w:val="18"/>
        </w:rPr>
        <w:t>r</w:t>
      </w:r>
    </w:p>
  </w:footnote>
  <w:footnote w:id="5">
    <w:p w14:paraId="2986BB35" w14:textId="0192F2CB" w:rsidR="00170FF8" w:rsidRDefault="00170FF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14" w:name="_Hlk169030349"/>
      <w:r w:rsidR="00270D30" w:rsidRPr="00270D30">
        <w:rPr>
          <w:sz w:val="18"/>
          <w:szCs w:val="18"/>
        </w:rPr>
        <w:t>Il s’agit des heures réalisées après application du taux de régime général</w:t>
      </w:r>
      <w:r w:rsidR="00EC02D4">
        <w:rPr>
          <w:sz w:val="18"/>
          <w:szCs w:val="18"/>
        </w:rPr>
        <w:t xml:space="preserve"> comptabilisées lors de la Charge à Payer</w:t>
      </w:r>
    </w:p>
    <w:bookmarkEnd w:id="14"/>
  </w:footnote>
  <w:footnote w:id="6">
    <w:p w14:paraId="356C303E" w14:textId="77777777" w:rsidR="00E23F7E" w:rsidRDefault="00E23F7E" w:rsidP="00E23F7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>Il s’agit des heures réalisées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</w:footnote>
  <w:footnote w:id="7">
    <w:p w14:paraId="47EA6DAB" w14:textId="77777777" w:rsidR="00AB4DCA" w:rsidRDefault="00AB4DCA" w:rsidP="00AB4DC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07513">
        <w:rPr>
          <w:sz w:val="18"/>
          <w:szCs w:val="18"/>
        </w:rPr>
        <w:t>Tel que contractualisé</w:t>
      </w:r>
    </w:p>
  </w:footnote>
  <w:footnote w:id="8">
    <w:p w14:paraId="2F2EEF37" w14:textId="641999A3" w:rsidR="00287CD8" w:rsidRPr="00287CD8" w:rsidRDefault="00AB4DCA" w:rsidP="00287CD8">
      <w:pPr>
        <w:rPr>
          <w:rFonts w:ascii="Times New Roman" w:eastAsia="MS Mincho" w:hAnsi="Times New Roman" w:cs="Times New Roman"/>
          <w:sz w:val="18"/>
          <w:szCs w:val="18"/>
          <w:lang w:eastAsia="fr-FR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</w:t>
      </w:r>
      <w:r w:rsidR="00287CD8"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> Il s’agit de la différence entre le nombre d’heures déclarées par le partenaire (</w:t>
      </w:r>
      <w:r w:rsidR="00151CED">
        <w:rPr>
          <w:rFonts w:ascii="Times New Roman" w:eastAsia="MS Mincho" w:hAnsi="Times New Roman" w:cs="Times New Roman"/>
          <w:sz w:val="18"/>
          <w:szCs w:val="18"/>
          <w:lang w:eastAsia="fr-FR"/>
        </w:rPr>
        <w:t>après application du</w:t>
      </w:r>
      <w:r w:rsidR="00287CD8"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 xml:space="preserve"> taux RG) au 31.12.N – le nombre d’heures existantes contractualisées</w:t>
      </w:r>
      <w:r w:rsidR="00151CED">
        <w:rPr>
          <w:rFonts w:ascii="Times New Roman" w:eastAsia="MS Mincho" w:hAnsi="Times New Roman" w:cs="Times New Roman"/>
          <w:sz w:val="18"/>
          <w:szCs w:val="18"/>
          <w:lang w:eastAsia="fr-FR"/>
        </w:rPr>
        <w:t>.</w:t>
      </w:r>
    </w:p>
    <w:p w14:paraId="60AF7767" w14:textId="369BE8F2" w:rsidR="00AB4DCA" w:rsidRDefault="00AB4DCA" w:rsidP="00AB4DCA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049"/>
    <w:multiLevelType w:val="hybridMultilevel"/>
    <w:tmpl w:val="DB641F46"/>
    <w:lvl w:ilvl="0" w:tplc="3FB8C3A4"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3801">
    <w:abstractNumId w:val="6"/>
  </w:num>
  <w:num w:numId="2" w16cid:durableId="1137720526">
    <w:abstractNumId w:val="4"/>
  </w:num>
  <w:num w:numId="3" w16cid:durableId="1655143226">
    <w:abstractNumId w:val="9"/>
  </w:num>
  <w:num w:numId="4" w16cid:durableId="1252156414">
    <w:abstractNumId w:val="8"/>
  </w:num>
  <w:num w:numId="5" w16cid:durableId="401296486">
    <w:abstractNumId w:val="2"/>
  </w:num>
  <w:num w:numId="6" w16cid:durableId="1260019626">
    <w:abstractNumId w:val="1"/>
  </w:num>
  <w:num w:numId="7" w16cid:durableId="1150295439">
    <w:abstractNumId w:val="7"/>
  </w:num>
  <w:num w:numId="8" w16cid:durableId="448161932">
    <w:abstractNumId w:val="3"/>
  </w:num>
  <w:num w:numId="9" w16cid:durableId="1916745359">
    <w:abstractNumId w:val="5"/>
  </w:num>
  <w:num w:numId="10" w16cid:durableId="16533697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6353"/>
    <w:rsid w:val="00044533"/>
    <w:rsid w:val="00044AD8"/>
    <w:rsid w:val="000471B5"/>
    <w:rsid w:val="000619A7"/>
    <w:rsid w:val="000633E6"/>
    <w:rsid w:val="00064472"/>
    <w:rsid w:val="00067327"/>
    <w:rsid w:val="000750A0"/>
    <w:rsid w:val="000A2413"/>
    <w:rsid w:val="000A4585"/>
    <w:rsid w:val="000B1D2E"/>
    <w:rsid w:val="000B6B54"/>
    <w:rsid w:val="000E0BAE"/>
    <w:rsid w:val="000E2680"/>
    <w:rsid w:val="000F20F5"/>
    <w:rsid w:val="000F42B6"/>
    <w:rsid w:val="001101DE"/>
    <w:rsid w:val="00125A0E"/>
    <w:rsid w:val="00126F43"/>
    <w:rsid w:val="0013392F"/>
    <w:rsid w:val="00135066"/>
    <w:rsid w:val="00143403"/>
    <w:rsid w:val="00143FEB"/>
    <w:rsid w:val="001465CF"/>
    <w:rsid w:val="00151CED"/>
    <w:rsid w:val="001551B7"/>
    <w:rsid w:val="001647FC"/>
    <w:rsid w:val="00170FF8"/>
    <w:rsid w:val="00183A78"/>
    <w:rsid w:val="00192CBE"/>
    <w:rsid w:val="0019375A"/>
    <w:rsid w:val="001971C3"/>
    <w:rsid w:val="001B330C"/>
    <w:rsid w:val="001B5963"/>
    <w:rsid w:val="001C08AF"/>
    <w:rsid w:val="001C0DEA"/>
    <w:rsid w:val="001D6556"/>
    <w:rsid w:val="001D798A"/>
    <w:rsid w:val="00202D7D"/>
    <w:rsid w:val="00237935"/>
    <w:rsid w:val="002448A2"/>
    <w:rsid w:val="002643A8"/>
    <w:rsid w:val="00270ADE"/>
    <w:rsid w:val="00270D30"/>
    <w:rsid w:val="002749BE"/>
    <w:rsid w:val="00280EE6"/>
    <w:rsid w:val="00287217"/>
    <w:rsid w:val="00287CD8"/>
    <w:rsid w:val="00292A3E"/>
    <w:rsid w:val="00294569"/>
    <w:rsid w:val="00295C54"/>
    <w:rsid w:val="002B26BE"/>
    <w:rsid w:val="002B3B32"/>
    <w:rsid w:val="002B5F65"/>
    <w:rsid w:val="002F3979"/>
    <w:rsid w:val="002F67F4"/>
    <w:rsid w:val="00302344"/>
    <w:rsid w:val="003118F3"/>
    <w:rsid w:val="00344D26"/>
    <w:rsid w:val="003579F5"/>
    <w:rsid w:val="0036220D"/>
    <w:rsid w:val="00374D8F"/>
    <w:rsid w:val="00391D05"/>
    <w:rsid w:val="003B381B"/>
    <w:rsid w:val="003B4CFB"/>
    <w:rsid w:val="003D62DC"/>
    <w:rsid w:val="003F0144"/>
    <w:rsid w:val="003F41B6"/>
    <w:rsid w:val="004012D9"/>
    <w:rsid w:val="00401533"/>
    <w:rsid w:val="0040445F"/>
    <w:rsid w:val="00404A21"/>
    <w:rsid w:val="00412B53"/>
    <w:rsid w:val="00430993"/>
    <w:rsid w:val="00434E3D"/>
    <w:rsid w:val="00443E3F"/>
    <w:rsid w:val="00452E8F"/>
    <w:rsid w:val="00453B4A"/>
    <w:rsid w:val="0046061E"/>
    <w:rsid w:val="00465BD3"/>
    <w:rsid w:val="004836C6"/>
    <w:rsid w:val="004845A9"/>
    <w:rsid w:val="004864BF"/>
    <w:rsid w:val="0049597A"/>
    <w:rsid w:val="00496F4C"/>
    <w:rsid w:val="004A1157"/>
    <w:rsid w:val="004C0089"/>
    <w:rsid w:val="004C41F7"/>
    <w:rsid w:val="004D7215"/>
    <w:rsid w:val="004F77AF"/>
    <w:rsid w:val="00505CE6"/>
    <w:rsid w:val="00516A06"/>
    <w:rsid w:val="005307A5"/>
    <w:rsid w:val="00531DB3"/>
    <w:rsid w:val="0053327C"/>
    <w:rsid w:val="00547980"/>
    <w:rsid w:val="00553923"/>
    <w:rsid w:val="00556E2A"/>
    <w:rsid w:val="0056767F"/>
    <w:rsid w:val="00595B0F"/>
    <w:rsid w:val="005A322F"/>
    <w:rsid w:val="005C3AED"/>
    <w:rsid w:val="005C5E33"/>
    <w:rsid w:val="005D3AD0"/>
    <w:rsid w:val="005D6416"/>
    <w:rsid w:val="005E587D"/>
    <w:rsid w:val="0060226A"/>
    <w:rsid w:val="00604AE9"/>
    <w:rsid w:val="00605107"/>
    <w:rsid w:val="00615852"/>
    <w:rsid w:val="006473C1"/>
    <w:rsid w:val="00666C57"/>
    <w:rsid w:val="00671D0C"/>
    <w:rsid w:val="0068260C"/>
    <w:rsid w:val="00686A12"/>
    <w:rsid w:val="0069602B"/>
    <w:rsid w:val="006A4704"/>
    <w:rsid w:val="006C0C04"/>
    <w:rsid w:val="006C40D5"/>
    <w:rsid w:val="006C7908"/>
    <w:rsid w:val="006D7149"/>
    <w:rsid w:val="006E2734"/>
    <w:rsid w:val="006E6037"/>
    <w:rsid w:val="006E6A65"/>
    <w:rsid w:val="00723096"/>
    <w:rsid w:val="007274CB"/>
    <w:rsid w:val="00727584"/>
    <w:rsid w:val="007350A9"/>
    <w:rsid w:val="00737807"/>
    <w:rsid w:val="007414BB"/>
    <w:rsid w:val="00741803"/>
    <w:rsid w:val="00742DD9"/>
    <w:rsid w:val="007436AF"/>
    <w:rsid w:val="007624B0"/>
    <w:rsid w:val="00764FD9"/>
    <w:rsid w:val="00770464"/>
    <w:rsid w:val="00794811"/>
    <w:rsid w:val="007A210B"/>
    <w:rsid w:val="007A6E35"/>
    <w:rsid w:val="007B44AE"/>
    <w:rsid w:val="007C3876"/>
    <w:rsid w:val="007E52E9"/>
    <w:rsid w:val="007F5163"/>
    <w:rsid w:val="00806053"/>
    <w:rsid w:val="00807518"/>
    <w:rsid w:val="00810A29"/>
    <w:rsid w:val="0081187D"/>
    <w:rsid w:val="00831799"/>
    <w:rsid w:val="00837881"/>
    <w:rsid w:val="00857070"/>
    <w:rsid w:val="00880CBC"/>
    <w:rsid w:val="00883B54"/>
    <w:rsid w:val="00893DA2"/>
    <w:rsid w:val="008C1A85"/>
    <w:rsid w:val="008C2122"/>
    <w:rsid w:val="008C6216"/>
    <w:rsid w:val="008D1094"/>
    <w:rsid w:val="008D5BFC"/>
    <w:rsid w:val="008E5FAD"/>
    <w:rsid w:val="008F6F46"/>
    <w:rsid w:val="0090004F"/>
    <w:rsid w:val="009058DD"/>
    <w:rsid w:val="00906DB1"/>
    <w:rsid w:val="00910FB7"/>
    <w:rsid w:val="00915739"/>
    <w:rsid w:val="00921BDA"/>
    <w:rsid w:val="00924DEB"/>
    <w:rsid w:val="00935488"/>
    <w:rsid w:val="00937F3A"/>
    <w:rsid w:val="00942D20"/>
    <w:rsid w:val="0094574B"/>
    <w:rsid w:val="0096519E"/>
    <w:rsid w:val="0097760A"/>
    <w:rsid w:val="00977895"/>
    <w:rsid w:val="009903E3"/>
    <w:rsid w:val="009A7F2E"/>
    <w:rsid w:val="009D048A"/>
    <w:rsid w:val="00A02210"/>
    <w:rsid w:val="00A11A37"/>
    <w:rsid w:val="00A126CB"/>
    <w:rsid w:val="00A15C6A"/>
    <w:rsid w:val="00A2195E"/>
    <w:rsid w:val="00A224F0"/>
    <w:rsid w:val="00A455CC"/>
    <w:rsid w:val="00A46128"/>
    <w:rsid w:val="00A46B84"/>
    <w:rsid w:val="00A54004"/>
    <w:rsid w:val="00A97A61"/>
    <w:rsid w:val="00AB4DCA"/>
    <w:rsid w:val="00AD1B86"/>
    <w:rsid w:val="00AD725E"/>
    <w:rsid w:val="00AE746F"/>
    <w:rsid w:val="00AF2D93"/>
    <w:rsid w:val="00B01D7D"/>
    <w:rsid w:val="00B1233E"/>
    <w:rsid w:val="00B12367"/>
    <w:rsid w:val="00B2734C"/>
    <w:rsid w:val="00B45E78"/>
    <w:rsid w:val="00B570A8"/>
    <w:rsid w:val="00B62D74"/>
    <w:rsid w:val="00B65469"/>
    <w:rsid w:val="00BA5EDE"/>
    <w:rsid w:val="00BB58EE"/>
    <w:rsid w:val="00BC7268"/>
    <w:rsid w:val="00BE1265"/>
    <w:rsid w:val="00BF1493"/>
    <w:rsid w:val="00BF33C3"/>
    <w:rsid w:val="00BF4A3D"/>
    <w:rsid w:val="00BF5292"/>
    <w:rsid w:val="00C00AAA"/>
    <w:rsid w:val="00C05371"/>
    <w:rsid w:val="00C07340"/>
    <w:rsid w:val="00C14E15"/>
    <w:rsid w:val="00C366F9"/>
    <w:rsid w:val="00C502B5"/>
    <w:rsid w:val="00C542CF"/>
    <w:rsid w:val="00C60B2A"/>
    <w:rsid w:val="00C67CA2"/>
    <w:rsid w:val="00C804B0"/>
    <w:rsid w:val="00C82AA0"/>
    <w:rsid w:val="00C975E3"/>
    <w:rsid w:val="00CC3DB7"/>
    <w:rsid w:val="00CC430D"/>
    <w:rsid w:val="00CD0F49"/>
    <w:rsid w:val="00CD3EEC"/>
    <w:rsid w:val="00CF1112"/>
    <w:rsid w:val="00D00014"/>
    <w:rsid w:val="00D03346"/>
    <w:rsid w:val="00D169C3"/>
    <w:rsid w:val="00D305A4"/>
    <w:rsid w:val="00D55B8D"/>
    <w:rsid w:val="00D60FE2"/>
    <w:rsid w:val="00D809EF"/>
    <w:rsid w:val="00D82562"/>
    <w:rsid w:val="00DA05F8"/>
    <w:rsid w:val="00DB3AF9"/>
    <w:rsid w:val="00DB3B45"/>
    <w:rsid w:val="00DC0714"/>
    <w:rsid w:val="00DD38F1"/>
    <w:rsid w:val="00DF33A6"/>
    <w:rsid w:val="00DF6C5D"/>
    <w:rsid w:val="00E00C0D"/>
    <w:rsid w:val="00E161A8"/>
    <w:rsid w:val="00E179C1"/>
    <w:rsid w:val="00E205FC"/>
    <w:rsid w:val="00E23F7E"/>
    <w:rsid w:val="00E325CE"/>
    <w:rsid w:val="00E37843"/>
    <w:rsid w:val="00E71E5F"/>
    <w:rsid w:val="00E74652"/>
    <w:rsid w:val="00E90075"/>
    <w:rsid w:val="00EB6D4E"/>
    <w:rsid w:val="00EC02D4"/>
    <w:rsid w:val="00EC2FAD"/>
    <w:rsid w:val="00EC4640"/>
    <w:rsid w:val="00EC51A8"/>
    <w:rsid w:val="00EF7EB4"/>
    <w:rsid w:val="00F12A50"/>
    <w:rsid w:val="00F215F3"/>
    <w:rsid w:val="00F26C34"/>
    <w:rsid w:val="00F50AD5"/>
    <w:rsid w:val="00F51B03"/>
    <w:rsid w:val="00F5509B"/>
    <w:rsid w:val="00F653A7"/>
    <w:rsid w:val="00F85022"/>
    <w:rsid w:val="00F87C32"/>
    <w:rsid w:val="00F90B2A"/>
    <w:rsid w:val="00F932E4"/>
    <w:rsid w:val="00F97916"/>
    <w:rsid w:val="00FC0D4D"/>
    <w:rsid w:val="00FD2731"/>
    <w:rsid w:val="00FF731C"/>
    <w:rsid w:val="0AF1FB90"/>
    <w:rsid w:val="1AD84BA1"/>
    <w:rsid w:val="20DF9228"/>
    <w:rsid w:val="442F0392"/>
    <w:rsid w:val="479DB3F6"/>
    <w:rsid w:val="493F345E"/>
    <w:rsid w:val="4D3520C7"/>
    <w:rsid w:val="50D48FC7"/>
    <w:rsid w:val="5D90CF14"/>
    <w:rsid w:val="66905397"/>
    <w:rsid w:val="67806437"/>
    <w:rsid w:val="7B5C0818"/>
    <w:rsid w:val="7CF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3553</Characters>
  <Application>Microsoft Office Word</Application>
  <DocSecurity>0</DocSecurity>
  <Lines>29</Lines>
  <Paragraphs>8</Paragraphs>
  <ScaleCrop>false</ScaleCrop>
  <Company>CNAF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4</cp:revision>
  <cp:lastPrinted>2024-05-17T09:36:00Z</cp:lastPrinted>
  <dcterms:created xsi:type="dcterms:W3CDTF">2025-07-18T10:56:00Z</dcterms:created>
  <dcterms:modified xsi:type="dcterms:W3CDTF">2025-07-22T07:55:00Z</dcterms:modified>
</cp:coreProperties>
</file>