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E7B0" w14:textId="1BC5D75A" w:rsidR="00E537EC" w:rsidRPr="00E537EC" w:rsidRDefault="00B20259" w:rsidP="00E537E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34A46" wp14:editId="2E291161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952500" cy="15295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7EC" w:rsidRPr="00E537EC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FOIRE AUX QUESTIONS</w:t>
      </w:r>
    </w:p>
    <w:p w14:paraId="2DFA8263" w14:textId="73F5C840" w:rsidR="00A62413" w:rsidRDefault="00E537EC" w:rsidP="00E537E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</w:pPr>
      <w:r w:rsidRPr="00E537EC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 xml:space="preserve">Réunion annuelle des </w:t>
      </w:r>
      <w:r w:rsidR="003079AB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Centres Sociaux</w:t>
      </w:r>
    </w:p>
    <w:p w14:paraId="4C6A250C" w14:textId="7222C170" w:rsidR="00E537EC" w:rsidRPr="00E537EC" w:rsidRDefault="00CD2B3D" w:rsidP="00E537E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</w:pPr>
      <w:r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1</w:t>
      </w:r>
      <w:r w:rsidR="00CA11EE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5</w:t>
      </w:r>
      <w:r w:rsidR="003079AB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 xml:space="preserve"> </w:t>
      </w:r>
      <w:proofErr w:type="gramStart"/>
      <w:r w:rsidR="003079AB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Février</w:t>
      </w:r>
      <w:proofErr w:type="gramEnd"/>
      <w:r w:rsidR="004442BF"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 xml:space="preserve"> 202</w:t>
      </w:r>
      <w:r>
        <w:rPr>
          <w:rFonts w:ascii="Calibri Light" w:hAnsi="Calibri Light" w:cs="Calibri Light"/>
          <w:b/>
          <w:bCs/>
          <w:color w:val="2E74B5" w:themeColor="accent5" w:themeShade="BF"/>
          <w:sz w:val="32"/>
          <w:szCs w:val="32"/>
        </w:rPr>
        <w:t>4</w:t>
      </w:r>
    </w:p>
    <w:p w14:paraId="2B74156A" w14:textId="77777777" w:rsidR="00E537EC" w:rsidRPr="00E537EC" w:rsidRDefault="00E537EC" w:rsidP="00E537E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bCs/>
          <w:color w:val="2E74B5" w:themeColor="accent5" w:themeShade="BF"/>
        </w:rPr>
      </w:pPr>
    </w:p>
    <w:p w14:paraId="1D811338" w14:textId="72FF8B38" w:rsidR="00E537EC" w:rsidRDefault="00E537EC" w:rsidP="00337FBE">
      <w:pPr>
        <w:spacing w:after="0" w:line="240" w:lineRule="auto"/>
        <w:jc w:val="both"/>
        <w:rPr>
          <w:rFonts w:ascii="Calibri Light" w:hAnsi="Calibri Light" w:cs="Calibri Light"/>
        </w:rPr>
      </w:pPr>
      <w:r w:rsidRPr="00552D72">
        <w:rPr>
          <w:rFonts w:ascii="Calibri Light" w:hAnsi="Calibri Light" w:cs="Calibri Light"/>
        </w:rPr>
        <w:t xml:space="preserve">Le diaporama </w:t>
      </w:r>
      <w:r w:rsidR="00A92DC2" w:rsidRPr="00552D72">
        <w:rPr>
          <w:rFonts w:ascii="Calibri Light" w:hAnsi="Calibri Light" w:cs="Calibri Light"/>
        </w:rPr>
        <w:t xml:space="preserve">de présentation est </w:t>
      </w:r>
      <w:r w:rsidRPr="00552D72">
        <w:rPr>
          <w:rFonts w:ascii="Calibri Light" w:hAnsi="Calibri Light" w:cs="Calibri Light"/>
        </w:rPr>
        <w:t xml:space="preserve">disponible </w:t>
      </w:r>
      <w:r w:rsidR="00A92DC2" w:rsidRPr="00552D72">
        <w:rPr>
          <w:rFonts w:ascii="Calibri Light" w:hAnsi="Calibri Light" w:cs="Calibri Light"/>
        </w:rPr>
        <w:t>sous</w:t>
      </w:r>
      <w:r w:rsidRPr="00552D72">
        <w:rPr>
          <w:rFonts w:ascii="Calibri Light" w:hAnsi="Calibri Light" w:cs="Calibri Light"/>
        </w:rPr>
        <w:t xml:space="preserve"> Ca</w:t>
      </w:r>
      <w:r w:rsidRPr="00AA0132">
        <w:rPr>
          <w:rFonts w:ascii="Calibri Light" w:hAnsi="Calibri Light" w:cs="Calibri Light"/>
        </w:rPr>
        <w:t>f.fr</w:t>
      </w:r>
      <w:r w:rsidR="00A92DC2" w:rsidRPr="00AA0132">
        <w:rPr>
          <w:rFonts w:ascii="Calibri Light" w:hAnsi="Calibri Light" w:cs="Calibri Light"/>
        </w:rPr>
        <w:t xml:space="preserve"> : </w:t>
      </w:r>
      <w:hyperlink r:id="rId9" w:history="1">
        <w:r w:rsidR="00951700" w:rsidRPr="00951700">
          <w:rPr>
            <w:rStyle w:val="Lienhypertexte"/>
            <w:rFonts w:ascii="Calibri Light" w:hAnsi="Calibri Light" w:cs="Calibri Light"/>
          </w:rPr>
          <w:t>Lien Caf.fr</w:t>
        </w:r>
      </w:hyperlink>
    </w:p>
    <w:p w14:paraId="69DD01BD" w14:textId="77777777" w:rsidR="00951700" w:rsidRDefault="00951700" w:rsidP="00337FBE">
      <w:pPr>
        <w:spacing w:after="0" w:line="240" w:lineRule="auto"/>
        <w:jc w:val="both"/>
        <w:rPr>
          <w:rStyle w:val="Lienhypertexte"/>
        </w:rPr>
      </w:pPr>
    </w:p>
    <w:p w14:paraId="40840D31" w14:textId="77777777" w:rsidR="00337FBE" w:rsidRPr="00552D72" w:rsidRDefault="00337FBE" w:rsidP="00337FB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AC48971" w14:textId="72501765" w:rsidR="000628BD" w:rsidRPr="000628BD" w:rsidRDefault="00E537EC" w:rsidP="00CD2B3D">
      <w:pPr>
        <w:pStyle w:val="NormalWeb"/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52D72">
        <w:rPr>
          <w:rFonts w:ascii="Calibri Light" w:hAnsi="Calibri Light" w:cs="Calibri Light"/>
          <w:b/>
          <w:bCs/>
          <w:sz w:val="22"/>
          <w:szCs w:val="22"/>
        </w:rPr>
        <w:t>Q1 :</w:t>
      </w:r>
      <w:r w:rsidR="00337FB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3079A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457E8">
        <w:rPr>
          <w:rFonts w:asciiTheme="majorHAnsi" w:hAnsiTheme="majorHAnsi" w:cstheme="majorHAnsi"/>
          <w:b/>
          <w:bCs/>
          <w:sz w:val="22"/>
          <w:szCs w:val="22"/>
        </w:rPr>
        <w:t xml:space="preserve">Paiement des acomptes </w:t>
      </w:r>
    </w:p>
    <w:p w14:paraId="77D98D0C" w14:textId="2D6F47E6" w:rsidR="00ED304F" w:rsidRDefault="00ED304F" w:rsidP="00337FBE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86DD488" w14:textId="45CF2C3F" w:rsidR="00D457E8" w:rsidRDefault="00CD2B3D" w:rsidP="00D457E8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R1 :</w:t>
      </w:r>
      <w:r w:rsidR="00D457E8">
        <w:rPr>
          <w:rFonts w:ascii="Calibri Light" w:hAnsi="Calibri Light" w:cs="Calibri Light"/>
          <w:b/>
          <w:bCs/>
          <w:sz w:val="22"/>
          <w:szCs w:val="22"/>
        </w:rPr>
        <w:t xml:space="preserve"> S’il y a renouvellement de l’agrément, il y aura le passage en CAS en mars pour une rétroactivité en janvier. Ensuite pour l’élaboration de la convention, il est important de pouvoir envoyer en amont l’ensemble </w:t>
      </w:r>
      <w:r w:rsidR="0064212C">
        <w:rPr>
          <w:rFonts w:ascii="Calibri Light" w:hAnsi="Calibri Light" w:cs="Calibri Light"/>
          <w:b/>
          <w:bCs/>
          <w:sz w:val="22"/>
          <w:szCs w:val="22"/>
        </w:rPr>
        <w:t>des pièces</w:t>
      </w:r>
      <w:r w:rsidR="00D457E8">
        <w:rPr>
          <w:rFonts w:ascii="Calibri Light" w:hAnsi="Calibri Light" w:cs="Calibri Light"/>
          <w:b/>
          <w:bCs/>
          <w:sz w:val="22"/>
          <w:szCs w:val="22"/>
        </w:rPr>
        <w:t xml:space="preserve"> justificatives (le plus rapidement possible) pour pouvoir effectuer le paiement rapidement </w:t>
      </w:r>
    </w:p>
    <w:p w14:paraId="2126034C" w14:textId="687F2B2A" w:rsidR="000628BD" w:rsidRDefault="000628BD" w:rsidP="00337FBE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C38BC38" w14:textId="76D74333" w:rsidR="00CD2B3D" w:rsidRPr="00337FBE" w:rsidRDefault="003C3073" w:rsidP="00337FBE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pict w14:anchorId="3B3A0087">
          <v:rect id="_x0000_i1025" style="width:0;height:1.5pt" o:hralign="center" o:hrstd="t" o:hr="t" fillcolor="#a0a0a0" stroked="f"/>
        </w:pict>
      </w:r>
    </w:p>
    <w:p w14:paraId="1201BBD9" w14:textId="4FD2F65E" w:rsidR="00552D72" w:rsidRDefault="00E537EC" w:rsidP="003079AB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52D72">
        <w:rPr>
          <w:rFonts w:ascii="Calibri Light" w:hAnsi="Calibri Light" w:cs="Calibri Light"/>
          <w:b/>
          <w:bCs/>
          <w:sz w:val="22"/>
          <w:szCs w:val="22"/>
        </w:rPr>
        <w:t>Q</w:t>
      </w:r>
      <w:r w:rsidR="00A03F99" w:rsidRPr="00552D72"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552D72">
        <w:rPr>
          <w:rFonts w:ascii="Calibri Light" w:hAnsi="Calibri Light" w:cs="Calibri Light"/>
          <w:b/>
          <w:bCs/>
          <w:sz w:val="22"/>
          <w:szCs w:val="22"/>
        </w:rPr>
        <w:t> :</w:t>
      </w:r>
      <w:r w:rsidR="000F5BFA" w:rsidRPr="00552D7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11349">
        <w:rPr>
          <w:rFonts w:ascii="Calibri Light" w:hAnsi="Calibri Light" w:cs="Calibri Light"/>
          <w:b/>
          <w:bCs/>
          <w:sz w:val="22"/>
          <w:szCs w:val="22"/>
        </w:rPr>
        <w:t>le nombre de personnels Direction différents sur l’année concerne seulement la direction ?</w:t>
      </w:r>
    </w:p>
    <w:p w14:paraId="6AC1DA4C" w14:textId="77777777" w:rsidR="00CD2B3D" w:rsidRDefault="00CD2B3D" w:rsidP="003079AB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539BCC2" w14:textId="2570022D" w:rsidR="00CD2B3D" w:rsidRDefault="00CD2B3D" w:rsidP="003079AB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R2 :</w:t>
      </w:r>
      <w:r w:rsidR="00411349">
        <w:rPr>
          <w:rFonts w:ascii="Calibri Light" w:hAnsi="Calibri Light" w:cs="Calibri Light"/>
          <w:b/>
          <w:bCs/>
          <w:sz w:val="22"/>
          <w:szCs w:val="22"/>
        </w:rPr>
        <w:t xml:space="preserve"> oui il</w:t>
      </w:r>
      <w:r w:rsidR="00411349" w:rsidRPr="00411349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11349">
        <w:rPr>
          <w:rFonts w:ascii="Calibri Light" w:hAnsi="Calibri Light" w:cs="Calibri Light"/>
          <w:b/>
          <w:bCs/>
          <w:sz w:val="22"/>
          <w:szCs w:val="22"/>
        </w:rPr>
        <w:t xml:space="preserve">ne concerne que le poste de direction, les autres ETP peuvent être détaillé plus haut et c’est une pièce qui pourra servir en cas de contrôle </w:t>
      </w:r>
    </w:p>
    <w:p w14:paraId="1D243DB1" w14:textId="77777777" w:rsidR="00CD2B3D" w:rsidRDefault="00CD2B3D" w:rsidP="003079AB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550E4EE" w14:textId="1B0CA204" w:rsidR="00CD2B3D" w:rsidRDefault="003C3073" w:rsidP="003079AB">
      <w:pPr>
        <w:pStyle w:val="NormalWeb"/>
        <w:spacing w:after="12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pict w14:anchorId="115C3FEA">
          <v:rect id="_x0000_i1026" style="width:0;height:1.5pt" o:hralign="center" o:hrstd="t" o:hr="t" fillcolor="#a0a0a0" stroked="f"/>
        </w:pict>
      </w:r>
    </w:p>
    <w:p w14:paraId="613B3406" w14:textId="7354BEAC" w:rsidR="00337FBE" w:rsidRDefault="0051293E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 w:rsidRPr="00552D72">
        <w:rPr>
          <w:rFonts w:ascii="Calibri Light" w:hAnsi="Calibri Light" w:cs="Calibri Light"/>
          <w:b/>
          <w:bCs/>
        </w:rPr>
        <w:t>Q</w:t>
      </w:r>
      <w:r w:rsidR="00A03F99" w:rsidRPr="00552D72">
        <w:rPr>
          <w:rFonts w:ascii="Calibri Light" w:hAnsi="Calibri Light" w:cs="Calibri Light"/>
          <w:b/>
          <w:bCs/>
        </w:rPr>
        <w:t>3</w:t>
      </w:r>
      <w:r w:rsidRPr="00552D72">
        <w:rPr>
          <w:rFonts w:ascii="Calibri Light" w:hAnsi="Calibri Light" w:cs="Calibri Light"/>
          <w:b/>
          <w:bCs/>
        </w:rPr>
        <w:t xml:space="preserve"> : </w:t>
      </w:r>
      <w:r w:rsidR="0064212C">
        <w:rPr>
          <w:rFonts w:ascii="Calibri Light" w:hAnsi="Calibri Light" w:cs="Calibri Light"/>
          <w:b/>
          <w:bCs/>
        </w:rPr>
        <w:t>Est-ce qu’il faut préciser s’il y a un déficit ?</w:t>
      </w:r>
    </w:p>
    <w:p w14:paraId="2AB68239" w14:textId="77777777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</w:p>
    <w:p w14:paraId="6030FEA1" w14:textId="25516389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R3 :</w:t>
      </w:r>
      <w:r w:rsidR="0064212C">
        <w:rPr>
          <w:rFonts w:ascii="Calibri Light" w:hAnsi="Calibri Light" w:cs="Calibri Light"/>
          <w:b/>
          <w:bCs/>
        </w:rPr>
        <w:t xml:space="preserve"> oui, ils doivent être précisés dans le cadre des gestions associatives et il est important d’indiquer un commentaire disponible au niveau de l’approbateur.</w:t>
      </w:r>
    </w:p>
    <w:p w14:paraId="6F4F0C1C" w14:textId="77777777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</w:p>
    <w:p w14:paraId="30C18112" w14:textId="35D9C71B" w:rsidR="00CD2B3D" w:rsidRDefault="003C3073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 w:cs="Calibri Light"/>
          <w:b/>
          <w:bCs/>
        </w:rPr>
        <w:pict w14:anchorId="7413C782">
          <v:rect id="_x0000_i1027" style="width:0;height:1.5pt" o:hralign="center" o:hrstd="t" o:hr="t" fillcolor="#a0a0a0" stroked="f"/>
        </w:pict>
      </w:r>
    </w:p>
    <w:p w14:paraId="48855030" w14:textId="1FFD0D2B" w:rsidR="00337FBE" w:rsidRDefault="00335059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552D72">
        <w:rPr>
          <w:rFonts w:ascii="Calibri Light" w:hAnsi="Calibri Light" w:cs="Calibri Light"/>
          <w:b/>
          <w:bCs/>
        </w:rPr>
        <w:t>Q</w:t>
      </w:r>
      <w:r w:rsidR="00A03F99" w:rsidRPr="00552D72">
        <w:rPr>
          <w:rFonts w:ascii="Calibri Light" w:hAnsi="Calibri Light" w:cs="Calibri Light"/>
          <w:b/>
          <w:bCs/>
        </w:rPr>
        <w:t>4</w:t>
      </w:r>
      <w:r w:rsidRPr="00552D72">
        <w:rPr>
          <w:rFonts w:ascii="Calibri Light" w:hAnsi="Calibri Light" w:cs="Calibri Light"/>
          <w:b/>
          <w:bCs/>
        </w:rPr>
        <w:t> :</w:t>
      </w:r>
      <w:r w:rsidR="00507ECA" w:rsidRPr="00552D72">
        <w:rPr>
          <w:rFonts w:ascii="Calibri Light" w:hAnsi="Calibri Light" w:cs="Calibri Light"/>
          <w:b/>
          <w:bCs/>
        </w:rPr>
        <w:t xml:space="preserve"> </w:t>
      </w:r>
      <w:r w:rsidR="003079AB">
        <w:rPr>
          <w:rFonts w:asciiTheme="majorHAnsi" w:hAnsiTheme="majorHAnsi" w:cstheme="majorHAnsi"/>
          <w:b/>
          <w:bCs/>
        </w:rPr>
        <w:t xml:space="preserve"> </w:t>
      </w:r>
    </w:p>
    <w:p w14:paraId="58CCDDB9" w14:textId="5A9D7EA6" w:rsidR="00CD2B3D" w:rsidRDefault="00CD2B3D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</w:p>
    <w:p w14:paraId="022479AF" w14:textId="64C9D7EB" w:rsidR="00CD2B3D" w:rsidRDefault="00CD2B3D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R4 :</w:t>
      </w:r>
    </w:p>
    <w:p w14:paraId="30A15E9F" w14:textId="77777777" w:rsidR="00CD2B3D" w:rsidRDefault="00CD2B3D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</w:p>
    <w:p w14:paraId="5B7CF548" w14:textId="351B9305" w:rsidR="00CD2B3D" w:rsidRDefault="003C3073" w:rsidP="003079A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 w:cs="Calibri Light"/>
          <w:b/>
          <w:bCs/>
        </w:rPr>
        <w:pict w14:anchorId="2B6AA3D3">
          <v:rect id="_x0000_i1028" style="width:0;height:1.5pt" o:hralign="center" o:hrstd="t" o:hr="t" fillcolor="#a0a0a0" stroked="f"/>
        </w:pict>
      </w:r>
    </w:p>
    <w:p w14:paraId="30F26173" w14:textId="7D42868A" w:rsidR="00337FBE" w:rsidRDefault="00335059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 w:rsidRPr="00552D72">
        <w:rPr>
          <w:rFonts w:ascii="Calibri Light" w:hAnsi="Calibri Light" w:cs="Calibri Light"/>
          <w:b/>
          <w:bCs/>
        </w:rPr>
        <w:t>Q</w:t>
      </w:r>
      <w:r w:rsidR="00A03F99" w:rsidRPr="00552D72">
        <w:rPr>
          <w:rFonts w:ascii="Calibri Light" w:hAnsi="Calibri Light" w:cs="Calibri Light"/>
          <w:b/>
          <w:bCs/>
        </w:rPr>
        <w:t>5</w:t>
      </w:r>
      <w:r w:rsidRPr="00552D72">
        <w:rPr>
          <w:rFonts w:ascii="Calibri Light" w:hAnsi="Calibri Light" w:cs="Calibri Light"/>
          <w:b/>
          <w:bCs/>
        </w:rPr>
        <w:t> :</w:t>
      </w:r>
      <w:r w:rsidR="00013A1A" w:rsidRPr="00552D72">
        <w:rPr>
          <w:rFonts w:ascii="Calibri Light" w:hAnsi="Calibri Light" w:cs="Calibri Light"/>
          <w:b/>
          <w:bCs/>
        </w:rPr>
        <w:t xml:space="preserve"> </w:t>
      </w:r>
    </w:p>
    <w:p w14:paraId="28650C16" w14:textId="77777777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</w:p>
    <w:p w14:paraId="18FD0E19" w14:textId="049110B4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R5 :</w:t>
      </w:r>
    </w:p>
    <w:p w14:paraId="789EDBCB" w14:textId="77777777" w:rsidR="00CD2B3D" w:rsidRDefault="00CD2B3D" w:rsidP="003079AB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</w:p>
    <w:p w14:paraId="74DF5FBD" w14:textId="1F8F17DC" w:rsidR="00337FBE" w:rsidRPr="00337FBE" w:rsidRDefault="003C3073" w:rsidP="00337FBE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bCs/>
        </w:rPr>
        <w:pict w14:anchorId="513D41C8">
          <v:rect id="_x0000_i1029" style="width:0;height:1.5pt" o:hralign="center" o:hrstd="t" o:hr="t" fillcolor="#a0a0a0" stroked="f"/>
        </w:pict>
      </w:r>
    </w:p>
    <w:sectPr w:rsidR="00337FBE" w:rsidRPr="00337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0300" w14:textId="77777777" w:rsidR="009F25CD" w:rsidRDefault="009F25CD" w:rsidP="00A62413">
      <w:pPr>
        <w:spacing w:after="0" w:line="240" w:lineRule="auto"/>
      </w:pPr>
      <w:r>
        <w:separator/>
      </w:r>
    </w:p>
  </w:endnote>
  <w:endnote w:type="continuationSeparator" w:id="0">
    <w:p w14:paraId="48D953D5" w14:textId="77777777" w:rsidR="009F25CD" w:rsidRDefault="009F25CD" w:rsidP="00A6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891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788FCC" w14:textId="3211C66D" w:rsidR="00D126F9" w:rsidRPr="004442BF" w:rsidRDefault="00D126F9" w:rsidP="00D126F9">
            <w:pPr>
              <w:pStyle w:val="Pieddepage"/>
              <w:jc w:val="right"/>
              <w:rPr>
                <w:i/>
                <w:iCs/>
              </w:rPr>
            </w:pPr>
            <w:r w:rsidRPr="00D126F9">
              <w:rPr>
                <w:i/>
                <w:iCs/>
              </w:rPr>
              <w:t>Caf Haute</w:t>
            </w:r>
            <w:r w:rsidR="004442BF">
              <w:rPr>
                <w:i/>
                <w:iCs/>
              </w:rPr>
              <w:t>-</w:t>
            </w:r>
            <w:r w:rsidRPr="00D126F9">
              <w:rPr>
                <w:i/>
                <w:iCs/>
              </w:rPr>
              <w:t>Loire</w:t>
            </w:r>
            <w:r w:rsidR="004442BF">
              <w:rPr>
                <w:i/>
                <w:iCs/>
              </w:rPr>
              <w:t xml:space="preserve"> </w:t>
            </w:r>
            <w:r w:rsidR="003079AB">
              <w:rPr>
                <w:i/>
                <w:iCs/>
              </w:rPr>
              <w:t>–</w:t>
            </w:r>
            <w:r w:rsidR="004442BF">
              <w:rPr>
                <w:i/>
                <w:iCs/>
              </w:rPr>
              <w:t xml:space="preserve"> </w:t>
            </w:r>
            <w:r w:rsidR="00CD2B3D">
              <w:rPr>
                <w:i/>
                <w:iCs/>
              </w:rPr>
              <w:t>1</w:t>
            </w:r>
            <w:r w:rsidR="00CA11EE">
              <w:rPr>
                <w:i/>
                <w:iCs/>
              </w:rPr>
              <w:t>5</w:t>
            </w:r>
            <w:r w:rsidR="003079AB">
              <w:rPr>
                <w:i/>
                <w:iCs/>
              </w:rPr>
              <w:t>.02</w:t>
            </w:r>
            <w:r w:rsidR="004442BF">
              <w:rPr>
                <w:i/>
                <w:iCs/>
              </w:rPr>
              <w:t>.2</w:t>
            </w:r>
            <w:r w:rsidR="00CD2B3D">
              <w:rPr>
                <w:i/>
                <w:iCs/>
              </w:rPr>
              <w:t>4</w:t>
            </w:r>
            <w:r>
              <w:t xml:space="preserve">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473DD" w14:textId="3B6BCF96" w:rsidR="00A62413" w:rsidRDefault="00A62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A32" w14:textId="77777777" w:rsidR="009F25CD" w:rsidRDefault="009F25CD" w:rsidP="00A62413">
      <w:pPr>
        <w:spacing w:after="0" w:line="240" w:lineRule="auto"/>
      </w:pPr>
      <w:r>
        <w:separator/>
      </w:r>
    </w:p>
  </w:footnote>
  <w:footnote w:type="continuationSeparator" w:id="0">
    <w:p w14:paraId="06807181" w14:textId="77777777" w:rsidR="009F25CD" w:rsidRDefault="009F25CD" w:rsidP="00A6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F8E"/>
    <w:multiLevelType w:val="hybridMultilevel"/>
    <w:tmpl w:val="B8121C0A"/>
    <w:lvl w:ilvl="0" w:tplc="35740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E34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A7F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84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EE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AD7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8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00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47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113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EC"/>
    <w:rsid w:val="000026A3"/>
    <w:rsid w:val="00013A1A"/>
    <w:rsid w:val="00042D6D"/>
    <w:rsid w:val="000628BD"/>
    <w:rsid w:val="000C29B6"/>
    <w:rsid w:val="000F5BFA"/>
    <w:rsid w:val="00146054"/>
    <w:rsid w:val="001C5846"/>
    <w:rsid w:val="001E403D"/>
    <w:rsid w:val="001F6BEB"/>
    <w:rsid w:val="00221BAF"/>
    <w:rsid w:val="002514B4"/>
    <w:rsid w:val="002540F2"/>
    <w:rsid w:val="002770F3"/>
    <w:rsid w:val="002D23D5"/>
    <w:rsid w:val="002F4A00"/>
    <w:rsid w:val="003079AB"/>
    <w:rsid w:val="00312D34"/>
    <w:rsid w:val="00335059"/>
    <w:rsid w:val="00337FBE"/>
    <w:rsid w:val="003C3073"/>
    <w:rsid w:val="003F43A6"/>
    <w:rsid w:val="00411349"/>
    <w:rsid w:val="004442BF"/>
    <w:rsid w:val="004574F8"/>
    <w:rsid w:val="00461850"/>
    <w:rsid w:val="0046522D"/>
    <w:rsid w:val="00507ECA"/>
    <w:rsid w:val="0051293E"/>
    <w:rsid w:val="00513C97"/>
    <w:rsid w:val="00552D72"/>
    <w:rsid w:val="005B587A"/>
    <w:rsid w:val="006208E5"/>
    <w:rsid w:val="0064212C"/>
    <w:rsid w:val="00687732"/>
    <w:rsid w:val="006B25D4"/>
    <w:rsid w:val="006C0583"/>
    <w:rsid w:val="006E35DF"/>
    <w:rsid w:val="0070734D"/>
    <w:rsid w:val="00726944"/>
    <w:rsid w:val="007E5B2F"/>
    <w:rsid w:val="007F2C9D"/>
    <w:rsid w:val="009227D9"/>
    <w:rsid w:val="00951700"/>
    <w:rsid w:val="009F25CD"/>
    <w:rsid w:val="00A03F99"/>
    <w:rsid w:val="00A45264"/>
    <w:rsid w:val="00A5474F"/>
    <w:rsid w:val="00A62413"/>
    <w:rsid w:val="00A7347C"/>
    <w:rsid w:val="00A92DC2"/>
    <w:rsid w:val="00AA0132"/>
    <w:rsid w:val="00AA47B0"/>
    <w:rsid w:val="00AA7399"/>
    <w:rsid w:val="00B20259"/>
    <w:rsid w:val="00B26808"/>
    <w:rsid w:val="00B7214B"/>
    <w:rsid w:val="00B92ED4"/>
    <w:rsid w:val="00BB3819"/>
    <w:rsid w:val="00BE6E8B"/>
    <w:rsid w:val="00CA11EE"/>
    <w:rsid w:val="00CD2B3D"/>
    <w:rsid w:val="00D126F9"/>
    <w:rsid w:val="00D457E8"/>
    <w:rsid w:val="00E537EC"/>
    <w:rsid w:val="00ED304F"/>
    <w:rsid w:val="00EE63B8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71BB9"/>
  <w15:chartTrackingRefBased/>
  <w15:docId w15:val="{872777B6-4590-4731-87AB-BFAAFBCE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413"/>
  </w:style>
  <w:style w:type="paragraph" w:styleId="Pieddepage">
    <w:name w:val="footer"/>
    <w:basedOn w:val="Normal"/>
    <w:link w:val="PieddepageCar"/>
    <w:uiPriority w:val="99"/>
    <w:unhideWhenUsed/>
    <w:rsid w:val="00A6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413"/>
  </w:style>
  <w:style w:type="character" w:styleId="Lienhypertexte">
    <w:name w:val="Hyperlink"/>
    <w:basedOn w:val="Policepardfaut"/>
    <w:uiPriority w:val="99"/>
    <w:unhideWhenUsed/>
    <w:rsid w:val="004618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18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68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40F2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Policepardfaut"/>
    <w:rsid w:val="002540F2"/>
  </w:style>
  <w:style w:type="paragraph" w:customStyle="1" w:styleId="xmsonormal">
    <w:name w:val="x_msonormal"/>
    <w:basedOn w:val="Normal"/>
    <w:rsid w:val="0045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4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f.fr/partenaires/caf-de-haute-loire/partenaires-locaux/vos-demarches/prestations-de-service/centre-soc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C74-2E6C-4A9F-B152-CE0F676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REBOULLET 431</dc:creator>
  <cp:keywords/>
  <dc:description/>
  <cp:lastModifiedBy>Benjamin GIOVAGNOLI 431</cp:lastModifiedBy>
  <cp:revision>6</cp:revision>
  <cp:lastPrinted>2023-01-31T07:46:00Z</cp:lastPrinted>
  <dcterms:created xsi:type="dcterms:W3CDTF">2024-02-14T07:49:00Z</dcterms:created>
  <dcterms:modified xsi:type="dcterms:W3CDTF">2024-03-15T10:36:00Z</dcterms:modified>
</cp:coreProperties>
</file>