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8AEF" w14:textId="1B43E4C2" w:rsidR="004178EC" w:rsidRPr="004178EC" w:rsidRDefault="00107711" w:rsidP="004178EC">
      <w:pPr>
        <w:jc w:val="both"/>
        <w:rPr>
          <w:rFonts w:ascii="Arial" w:hAnsi="Arial" w:cs="Arial"/>
        </w:rPr>
      </w:pPr>
      <w:r>
        <w:rPr>
          <w:rFonts w:ascii="Arial" w:hAnsi="Arial" w:cs="Arial"/>
          <w:noProof/>
          <w:sz w:val="24"/>
          <w:szCs w:val="24"/>
        </w:rPr>
        <w:drawing>
          <wp:anchor distT="0" distB="0" distL="114300" distR="114300" simplePos="0" relativeHeight="251660288" behindDoc="0" locked="0" layoutInCell="1" allowOverlap="1" wp14:anchorId="0A76BFD4" wp14:editId="6A3C1B75">
            <wp:simplePos x="0" y="0"/>
            <wp:positionH relativeFrom="column">
              <wp:posOffset>3081655</wp:posOffset>
            </wp:positionH>
            <wp:positionV relativeFrom="paragraph">
              <wp:posOffset>-223520</wp:posOffset>
            </wp:positionV>
            <wp:extent cx="1095375" cy="1599760"/>
            <wp:effectExtent l="38100" t="38100" r="28575" b="38735"/>
            <wp:wrapNone/>
            <wp:docPr id="754266028" name="Image 3" descr="Une image contenant texte, Police, affich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66028" name="Image 3" descr="Une image contenant texte, Police, affiche, Graphiqu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5375" cy="1599760"/>
                    </a:xfrm>
                    <a:prstGeom prst="rect">
                      <a:avLst/>
                    </a:prstGeom>
                    <a:ln w="28575">
                      <a:solidFill>
                        <a:sysClr val="window" lastClr="FFFFFF"/>
                      </a:solidFill>
                    </a:ln>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w:drawing>
          <wp:anchor distT="0" distB="0" distL="114300" distR="114300" simplePos="0" relativeHeight="251661312" behindDoc="0" locked="0" layoutInCell="1" allowOverlap="1" wp14:anchorId="7927ED7E" wp14:editId="4AF77C5F">
            <wp:simplePos x="0" y="0"/>
            <wp:positionH relativeFrom="column">
              <wp:posOffset>4728845</wp:posOffset>
            </wp:positionH>
            <wp:positionV relativeFrom="paragraph">
              <wp:posOffset>-31750</wp:posOffset>
            </wp:positionV>
            <wp:extent cx="1733721" cy="942975"/>
            <wp:effectExtent l="19050" t="19050" r="19050" b="9525"/>
            <wp:wrapNone/>
            <wp:docPr id="459854502" name="Image 1"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54502" name="Image 1" descr="Une image contenant texte, Police, capture d’écran, logo&#10;&#10;Le contenu généré par l’IA peut être incorrect."/>
                    <pic:cNvPicPr/>
                  </pic:nvPicPr>
                  <pic:blipFill rotWithShape="1">
                    <a:blip r:embed="rId6" cstate="print">
                      <a:extLst>
                        <a:ext uri="{28A0092B-C50C-407E-A947-70E740481C1C}">
                          <a14:useLocalDpi xmlns:a14="http://schemas.microsoft.com/office/drawing/2010/main" val="0"/>
                        </a:ext>
                      </a:extLst>
                    </a:blip>
                    <a:srcRect l="5401" t="10727" r="6029" b="12111"/>
                    <a:stretch/>
                  </pic:blipFill>
                  <pic:spPr bwMode="auto">
                    <a:xfrm>
                      <a:off x="0" y="0"/>
                      <a:ext cx="1733721" cy="942975"/>
                    </a:xfrm>
                    <a:prstGeom prst="rect">
                      <a:avLst/>
                    </a:prstGeom>
                    <a:ln w="9525" cap="flat" cmpd="sng" algn="ctr">
                      <a:solidFill>
                        <a:sysClr val="window" lastClr="FFFFFF"/>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178EC">
        <w:rPr>
          <w:rFonts w:ascii="Arial" w:hAnsi="Arial" w:cs="Arial"/>
          <w:noProof/>
        </w:rPr>
        <w:drawing>
          <wp:anchor distT="0" distB="0" distL="114300" distR="114300" simplePos="0" relativeHeight="251658240" behindDoc="1" locked="0" layoutInCell="1" allowOverlap="1" wp14:anchorId="4BD6BCD4" wp14:editId="1C9F6028">
            <wp:simplePos x="0" y="0"/>
            <wp:positionH relativeFrom="column">
              <wp:posOffset>-171450</wp:posOffset>
            </wp:positionH>
            <wp:positionV relativeFrom="paragraph">
              <wp:posOffset>-276225</wp:posOffset>
            </wp:positionV>
            <wp:extent cx="7045797" cy="9801225"/>
            <wp:effectExtent l="0" t="0" r="3175" b="0"/>
            <wp:wrapNone/>
            <wp:docPr id="1357628524" name="Image 1" descr="Une image contenant instrument de musique, musique, dessin humoristique, violoncel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628524" name="Image 1" descr="Une image contenant instrument de musique, musique, dessin humoristique, violoncell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7049424" cy="9806271"/>
                    </a:xfrm>
                    <a:prstGeom prst="rect">
                      <a:avLst/>
                    </a:prstGeom>
                  </pic:spPr>
                </pic:pic>
              </a:graphicData>
            </a:graphic>
            <wp14:sizeRelH relativeFrom="page">
              <wp14:pctWidth>0</wp14:pctWidth>
            </wp14:sizeRelH>
            <wp14:sizeRelV relativeFrom="page">
              <wp14:pctHeight>0</wp14:pctHeight>
            </wp14:sizeRelV>
          </wp:anchor>
        </w:drawing>
      </w:r>
    </w:p>
    <w:p w14:paraId="08A29026" w14:textId="11930B0E" w:rsidR="004178EC" w:rsidRDefault="004178EC" w:rsidP="004178EC">
      <w:pPr>
        <w:jc w:val="both"/>
        <w:rPr>
          <w:rFonts w:ascii="Arial" w:hAnsi="Arial" w:cs="Arial"/>
        </w:rPr>
      </w:pPr>
    </w:p>
    <w:p w14:paraId="656177BA" w14:textId="751C7B62" w:rsidR="004178EC" w:rsidRDefault="004178EC" w:rsidP="004178EC">
      <w:pPr>
        <w:jc w:val="both"/>
        <w:rPr>
          <w:rFonts w:ascii="Arial" w:hAnsi="Arial" w:cs="Arial"/>
        </w:rPr>
      </w:pPr>
    </w:p>
    <w:p w14:paraId="5DA7DBD4" w14:textId="77777777" w:rsidR="004178EC" w:rsidRDefault="004178EC" w:rsidP="004178EC">
      <w:pPr>
        <w:jc w:val="both"/>
        <w:rPr>
          <w:rFonts w:ascii="Arial" w:hAnsi="Arial" w:cs="Arial"/>
        </w:rPr>
      </w:pPr>
    </w:p>
    <w:p w14:paraId="787E4C1E" w14:textId="77777777" w:rsidR="004178EC" w:rsidRDefault="004178EC" w:rsidP="004178EC">
      <w:pPr>
        <w:jc w:val="both"/>
        <w:rPr>
          <w:rFonts w:ascii="Arial" w:hAnsi="Arial" w:cs="Arial"/>
        </w:rPr>
      </w:pPr>
    </w:p>
    <w:p w14:paraId="16B3C462" w14:textId="77777777" w:rsidR="004178EC" w:rsidRDefault="004178EC" w:rsidP="004178EC">
      <w:pPr>
        <w:jc w:val="both"/>
        <w:rPr>
          <w:rFonts w:ascii="Arial" w:hAnsi="Arial" w:cs="Arial"/>
        </w:rPr>
      </w:pPr>
    </w:p>
    <w:p w14:paraId="4F61DFD6" w14:textId="77777777" w:rsidR="004178EC" w:rsidRDefault="004178EC" w:rsidP="004178EC">
      <w:pPr>
        <w:jc w:val="both"/>
        <w:rPr>
          <w:rFonts w:ascii="Arial" w:hAnsi="Arial" w:cs="Arial"/>
        </w:rPr>
      </w:pPr>
    </w:p>
    <w:p w14:paraId="1DDFA423" w14:textId="77777777" w:rsidR="004178EC" w:rsidRDefault="004178EC" w:rsidP="004178EC">
      <w:pPr>
        <w:jc w:val="both"/>
        <w:rPr>
          <w:rFonts w:ascii="Arial" w:hAnsi="Arial" w:cs="Arial"/>
        </w:rPr>
      </w:pPr>
    </w:p>
    <w:p w14:paraId="0919817E" w14:textId="77777777" w:rsidR="004178EC" w:rsidRDefault="004178EC" w:rsidP="004178EC">
      <w:pPr>
        <w:jc w:val="both"/>
        <w:rPr>
          <w:rFonts w:ascii="Arial" w:hAnsi="Arial" w:cs="Arial"/>
        </w:rPr>
      </w:pPr>
    </w:p>
    <w:p w14:paraId="5C5E6507" w14:textId="77777777" w:rsidR="004178EC" w:rsidRDefault="004178EC" w:rsidP="004178EC">
      <w:pPr>
        <w:jc w:val="both"/>
        <w:rPr>
          <w:rFonts w:ascii="Arial" w:hAnsi="Arial" w:cs="Arial"/>
        </w:rPr>
      </w:pPr>
    </w:p>
    <w:p w14:paraId="11229A77" w14:textId="77777777" w:rsidR="004178EC" w:rsidRDefault="004178EC" w:rsidP="004178EC">
      <w:pPr>
        <w:jc w:val="both"/>
        <w:rPr>
          <w:rFonts w:ascii="Arial" w:hAnsi="Arial" w:cs="Arial"/>
        </w:rPr>
      </w:pPr>
    </w:p>
    <w:p w14:paraId="6615235A" w14:textId="77777777" w:rsidR="004178EC" w:rsidRDefault="004178EC" w:rsidP="004178EC">
      <w:pPr>
        <w:jc w:val="both"/>
        <w:rPr>
          <w:rFonts w:ascii="Arial" w:hAnsi="Arial" w:cs="Arial"/>
        </w:rPr>
      </w:pPr>
    </w:p>
    <w:p w14:paraId="3CEB7B2A" w14:textId="77777777" w:rsidR="004178EC" w:rsidRDefault="004178EC" w:rsidP="004178EC">
      <w:pPr>
        <w:jc w:val="both"/>
        <w:rPr>
          <w:rFonts w:ascii="Arial" w:hAnsi="Arial" w:cs="Arial"/>
        </w:rPr>
      </w:pPr>
    </w:p>
    <w:p w14:paraId="3A35EBC6" w14:textId="77777777" w:rsidR="004178EC" w:rsidRDefault="004178EC" w:rsidP="004178EC">
      <w:pPr>
        <w:jc w:val="both"/>
        <w:rPr>
          <w:rFonts w:ascii="Arial" w:hAnsi="Arial" w:cs="Arial"/>
        </w:rPr>
      </w:pPr>
    </w:p>
    <w:p w14:paraId="21D02400" w14:textId="77777777" w:rsidR="004178EC" w:rsidRDefault="004178EC" w:rsidP="004178EC">
      <w:pPr>
        <w:jc w:val="both"/>
        <w:rPr>
          <w:rFonts w:ascii="Arial" w:hAnsi="Arial" w:cs="Arial"/>
        </w:rPr>
      </w:pPr>
    </w:p>
    <w:p w14:paraId="642626CD" w14:textId="77777777" w:rsidR="004178EC" w:rsidRDefault="004178EC" w:rsidP="004178EC">
      <w:pPr>
        <w:jc w:val="both"/>
        <w:rPr>
          <w:rFonts w:ascii="Arial" w:hAnsi="Arial" w:cs="Arial"/>
        </w:rPr>
      </w:pPr>
    </w:p>
    <w:p w14:paraId="1A6F0E26" w14:textId="77777777" w:rsidR="004178EC" w:rsidRDefault="004178EC" w:rsidP="004178EC">
      <w:pPr>
        <w:jc w:val="both"/>
        <w:rPr>
          <w:rFonts w:ascii="Arial" w:hAnsi="Arial" w:cs="Arial"/>
        </w:rPr>
      </w:pPr>
    </w:p>
    <w:p w14:paraId="5BD39042" w14:textId="77777777" w:rsidR="004178EC" w:rsidRDefault="004178EC" w:rsidP="004178EC">
      <w:pPr>
        <w:jc w:val="both"/>
        <w:rPr>
          <w:rFonts w:ascii="Arial" w:hAnsi="Arial" w:cs="Arial"/>
        </w:rPr>
      </w:pPr>
    </w:p>
    <w:p w14:paraId="0FC8BB7E" w14:textId="77777777" w:rsidR="004178EC" w:rsidRDefault="004178EC" w:rsidP="004178EC">
      <w:pPr>
        <w:jc w:val="both"/>
        <w:rPr>
          <w:rFonts w:ascii="Arial" w:hAnsi="Arial" w:cs="Arial"/>
        </w:rPr>
      </w:pPr>
    </w:p>
    <w:p w14:paraId="4425FC97" w14:textId="77777777" w:rsidR="004178EC" w:rsidRDefault="004178EC" w:rsidP="004178EC">
      <w:pPr>
        <w:jc w:val="both"/>
        <w:rPr>
          <w:rFonts w:ascii="Arial" w:hAnsi="Arial" w:cs="Arial"/>
        </w:rPr>
      </w:pPr>
    </w:p>
    <w:p w14:paraId="4CC9238B" w14:textId="77777777" w:rsidR="004178EC" w:rsidRDefault="004178EC" w:rsidP="004178EC">
      <w:pPr>
        <w:jc w:val="both"/>
        <w:rPr>
          <w:rFonts w:ascii="Arial" w:hAnsi="Arial" w:cs="Arial"/>
        </w:rPr>
      </w:pPr>
    </w:p>
    <w:p w14:paraId="5A1BC940" w14:textId="77777777" w:rsidR="004178EC" w:rsidRDefault="004178EC" w:rsidP="004178EC">
      <w:pPr>
        <w:jc w:val="both"/>
        <w:rPr>
          <w:rFonts w:ascii="Arial" w:hAnsi="Arial" w:cs="Arial"/>
        </w:rPr>
      </w:pPr>
    </w:p>
    <w:p w14:paraId="02BA1071" w14:textId="77777777" w:rsidR="004178EC" w:rsidRDefault="004178EC" w:rsidP="004178EC">
      <w:pPr>
        <w:jc w:val="both"/>
        <w:rPr>
          <w:rFonts w:ascii="Arial" w:hAnsi="Arial" w:cs="Arial"/>
        </w:rPr>
      </w:pPr>
    </w:p>
    <w:p w14:paraId="4F0ADD5E" w14:textId="77777777" w:rsidR="004178EC" w:rsidRDefault="004178EC" w:rsidP="004178EC">
      <w:pPr>
        <w:jc w:val="both"/>
        <w:rPr>
          <w:rFonts w:ascii="Arial" w:hAnsi="Arial" w:cs="Arial"/>
        </w:rPr>
      </w:pPr>
    </w:p>
    <w:p w14:paraId="1BBF96C8" w14:textId="77777777" w:rsidR="004178EC" w:rsidRDefault="004178EC" w:rsidP="004178EC">
      <w:pPr>
        <w:jc w:val="both"/>
        <w:rPr>
          <w:rFonts w:ascii="Arial" w:hAnsi="Arial" w:cs="Arial"/>
        </w:rPr>
      </w:pPr>
    </w:p>
    <w:p w14:paraId="54E9C183" w14:textId="77777777" w:rsidR="00107711" w:rsidRDefault="00107711" w:rsidP="004178EC">
      <w:pPr>
        <w:jc w:val="both"/>
        <w:rPr>
          <w:rFonts w:ascii="Arial" w:hAnsi="Arial" w:cs="Arial"/>
        </w:rPr>
      </w:pPr>
    </w:p>
    <w:p w14:paraId="1D4D64FA" w14:textId="77777777" w:rsidR="00107711" w:rsidRPr="00107711" w:rsidRDefault="00107711" w:rsidP="004178EC">
      <w:pPr>
        <w:jc w:val="both"/>
        <w:rPr>
          <w:rFonts w:ascii="Arial" w:hAnsi="Arial" w:cs="Arial"/>
          <w:sz w:val="6"/>
          <w:szCs w:val="6"/>
        </w:rPr>
      </w:pPr>
    </w:p>
    <w:p w14:paraId="31FF1A6F" w14:textId="77777777" w:rsidR="00107711" w:rsidRDefault="00107711" w:rsidP="004178EC">
      <w:pPr>
        <w:jc w:val="both"/>
        <w:rPr>
          <w:rFonts w:ascii="Arial" w:hAnsi="Arial" w:cs="Arial"/>
        </w:rPr>
      </w:pPr>
    </w:p>
    <w:p w14:paraId="47B02228" w14:textId="75D4E38E" w:rsidR="008C6DD5" w:rsidRPr="004178EC" w:rsidRDefault="004178EC" w:rsidP="00107711">
      <w:pPr>
        <w:tabs>
          <w:tab w:val="center" w:pos="3828"/>
          <w:tab w:val="left" w:pos="8080"/>
        </w:tabs>
        <w:jc w:val="both"/>
        <w:rPr>
          <w:rFonts w:ascii="Arial Black" w:hAnsi="Arial Black" w:cs="Arial"/>
          <w:sz w:val="36"/>
          <w:szCs w:val="36"/>
        </w:rPr>
      </w:pPr>
      <w:r>
        <w:rPr>
          <w:rFonts w:ascii="Arial Black" w:hAnsi="Arial Black" w:cs="Arial"/>
          <w:sz w:val="36"/>
          <w:szCs w:val="36"/>
        </w:rPr>
        <w:tab/>
      </w:r>
      <w:r w:rsidR="008C6DD5" w:rsidRPr="004178EC">
        <w:rPr>
          <w:rFonts w:ascii="Arial Black" w:hAnsi="Arial Black" w:cs="Arial"/>
          <w:sz w:val="36"/>
          <w:szCs w:val="36"/>
        </w:rPr>
        <w:t>APPEL A PROJETS</w:t>
      </w:r>
      <w:r>
        <w:rPr>
          <w:rFonts w:ascii="Arial Black" w:hAnsi="Arial Black" w:cs="Arial"/>
          <w:sz w:val="36"/>
          <w:szCs w:val="36"/>
        </w:rPr>
        <w:tab/>
      </w:r>
      <w:r w:rsidRPr="004178EC">
        <w:rPr>
          <w:rFonts w:ascii="Arial Black" w:hAnsi="Arial Black" w:cs="Arial"/>
          <w:color w:val="FFFFFF" w:themeColor="background1"/>
          <w:sz w:val="36"/>
          <w:szCs w:val="36"/>
        </w:rPr>
        <w:t>2026</w:t>
      </w:r>
    </w:p>
    <w:p w14:paraId="265D00B3" w14:textId="77777777" w:rsidR="004178EC" w:rsidRPr="004178EC" w:rsidRDefault="008C6DD5" w:rsidP="004178EC">
      <w:pPr>
        <w:ind w:right="2835"/>
        <w:jc w:val="center"/>
        <w:rPr>
          <w:rFonts w:ascii="Arial Black" w:hAnsi="Arial Black" w:cs="Arial"/>
          <w:color w:val="ED7D31" w:themeColor="accent2"/>
          <w:sz w:val="44"/>
          <w:szCs w:val="44"/>
        </w:rPr>
      </w:pPr>
      <w:r w:rsidRPr="004178EC">
        <w:rPr>
          <w:rFonts w:ascii="Arial Black" w:hAnsi="Arial Black" w:cs="Arial"/>
          <w:color w:val="ED7D31" w:themeColor="accent2"/>
          <w:sz w:val="44"/>
          <w:szCs w:val="44"/>
        </w:rPr>
        <w:t>FONDS PUBLICS</w:t>
      </w:r>
    </w:p>
    <w:p w14:paraId="479B1663" w14:textId="326207E0" w:rsidR="008C6DD5" w:rsidRPr="004178EC" w:rsidRDefault="008C6DD5" w:rsidP="004178EC">
      <w:pPr>
        <w:ind w:right="2835"/>
        <w:jc w:val="center"/>
        <w:rPr>
          <w:rFonts w:ascii="Arial Black" w:hAnsi="Arial Black" w:cs="Arial"/>
          <w:color w:val="ED7D31" w:themeColor="accent2"/>
          <w:sz w:val="44"/>
          <w:szCs w:val="44"/>
        </w:rPr>
      </w:pPr>
      <w:r w:rsidRPr="004178EC">
        <w:rPr>
          <w:rFonts w:ascii="Arial Black" w:hAnsi="Arial Black" w:cs="Arial"/>
          <w:color w:val="ED7D31" w:themeColor="accent2"/>
          <w:sz w:val="44"/>
          <w:szCs w:val="44"/>
        </w:rPr>
        <w:t>ET TERRITOIRES</w:t>
      </w:r>
    </w:p>
    <w:p w14:paraId="6C6E236F" w14:textId="56BFB857" w:rsidR="008C6DD5" w:rsidRDefault="008C6DD5">
      <w:pPr>
        <w:rPr>
          <w:rFonts w:ascii="Arial" w:eastAsia="Times New Roman" w:hAnsi="Arial" w:cs="Arial"/>
          <w:b/>
          <w:bCs/>
          <w:color w:val="000000"/>
          <w:kern w:val="0"/>
          <w:bdr w:val="none" w:sz="0" w:space="0" w:color="auto" w:frame="1"/>
          <w:shd w:val="clear" w:color="auto" w:fill="FFFFFF"/>
          <w:lang w:eastAsia="fr-FR"/>
          <w14:ligatures w14:val="none"/>
        </w:rPr>
      </w:pPr>
      <w:r>
        <w:rPr>
          <w:rFonts w:ascii="Arial" w:eastAsia="Times New Roman" w:hAnsi="Arial" w:cs="Arial"/>
          <w:b/>
          <w:bCs/>
          <w:color w:val="000000"/>
          <w:kern w:val="0"/>
          <w:bdr w:val="none" w:sz="0" w:space="0" w:color="auto" w:frame="1"/>
          <w:shd w:val="clear" w:color="auto" w:fill="FFFFFF"/>
          <w:lang w:eastAsia="fr-FR"/>
          <w14:ligatures w14:val="none"/>
        </w:rPr>
        <w:br w:type="page"/>
      </w:r>
    </w:p>
    <w:p w14:paraId="7BBE59F7" w14:textId="222AF7DD" w:rsidR="001311C8" w:rsidRPr="004178EC" w:rsidRDefault="001311C8" w:rsidP="004178EC">
      <w:pPr>
        <w:spacing w:after="0" w:line="240" w:lineRule="auto"/>
        <w:jc w:val="both"/>
        <w:rPr>
          <w:rFonts w:ascii="Arial" w:hAnsi="Arial" w:cs="Arial"/>
          <w:b/>
          <w:bCs/>
        </w:rPr>
      </w:pPr>
      <w:r w:rsidRPr="001311C8">
        <w:rPr>
          <w:rFonts w:ascii="Arial" w:hAnsi="Arial" w:cs="Arial"/>
          <w:b/>
          <w:bCs/>
        </w:rPr>
        <w:lastRenderedPageBreak/>
        <w:t xml:space="preserve">La Caisse d’allocations familiales du </w:t>
      </w:r>
      <w:r w:rsidRPr="004178EC">
        <w:rPr>
          <w:rFonts w:ascii="Arial" w:hAnsi="Arial" w:cs="Arial"/>
          <w:b/>
          <w:bCs/>
        </w:rPr>
        <w:t>Cantal</w:t>
      </w:r>
      <w:r w:rsidRPr="001311C8">
        <w:rPr>
          <w:rFonts w:ascii="Arial" w:hAnsi="Arial" w:cs="Arial"/>
          <w:b/>
          <w:bCs/>
        </w:rPr>
        <w:t xml:space="preserve"> intervient dans le cadre des orientations de la Convention d’Objectifs et de Gestion (COG) signée entre la Caisse nationale des allocations familiales</w:t>
      </w:r>
      <w:r w:rsidR="004178EC" w:rsidRPr="004178EC">
        <w:rPr>
          <w:rFonts w:ascii="Arial" w:hAnsi="Arial" w:cs="Arial"/>
          <w:b/>
          <w:bCs/>
        </w:rPr>
        <w:t xml:space="preserve"> </w:t>
      </w:r>
      <w:r w:rsidRPr="001311C8">
        <w:rPr>
          <w:rFonts w:ascii="Arial" w:hAnsi="Arial" w:cs="Arial"/>
          <w:b/>
          <w:bCs/>
        </w:rPr>
        <w:t>et</w:t>
      </w:r>
      <w:r w:rsidR="004178EC" w:rsidRPr="004178EC">
        <w:rPr>
          <w:rFonts w:ascii="Arial" w:hAnsi="Arial" w:cs="Arial"/>
          <w:b/>
          <w:bCs/>
        </w:rPr>
        <w:t xml:space="preserve"> </w:t>
      </w:r>
      <w:r w:rsidRPr="001311C8">
        <w:rPr>
          <w:rFonts w:ascii="Arial" w:hAnsi="Arial" w:cs="Arial"/>
          <w:b/>
          <w:bCs/>
        </w:rPr>
        <w:t>l’Etat.</w:t>
      </w:r>
    </w:p>
    <w:p w14:paraId="4E2D7E99" w14:textId="77777777" w:rsidR="004178EC" w:rsidRPr="00107711" w:rsidRDefault="004178EC" w:rsidP="004178EC">
      <w:pPr>
        <w:spacing w:after="0" w:line="240" w:lineRule="auto"/>
        <w:jc w:val="both"/>
        <w:rPr>
          <w:rFonts w:ascii="Arial" w:hAnsi="Arial" w:cs="Arial"/>
          <w:b/>
          <w:bCs/>
          <w:sz w:val="16"/>
          <w:szCs w:val="16"/>
        </w:rPr>
      </w:pPr>
    </w:p>
    <w:p w14:paraId="0E8DEEC3" w14:textId="2C5E32B9" w:rsidR="001311C8" w:rsidRPr="004178EC" w:rsidRDefault="001311C8" w:rsidP="004178EC">
      <w:pPr>
        <w:spacing w:after="0" w:line="240" w:lineRule="auto"/>
        <w:jc w:val="both"/>
        <w:rPr>
          <w:rFonts w:ascii="Arial" w:hAnsi="Arial" w:cs="Arial"/>
          <w:b/>
          <w:bCs/>
        </w:rPr>
      </w:pPr>
      <w:r w:rsidRPr="001311C8">
        <w:rPr>
          <w:rFonts w:ascii="Arial" w:hAnsi="Arial" w:cs="Arial"/>
          <w:b/>
          <w:bCs/>
        </w:rPr>
        <w:t>Une de ses ambitions porte sur une</w:t>
      </w:r>
      <w:r w:rsidRPr="004178EC">
        <w:rPr>
          <w:rFonts w:ascii="Arial" w:hAnsi="Arial" w:cs="Arial"/>
          <w:b/>
          <w:bCs/>
        </w:rPr>
        <w:t xml:space="preserve"> </w:t>
      </w:r>
      <w:r w:rsidRPr="001311C8">
        <w:rPr>
          <w:rFonts w:ascii="Arial" w:hAnsi="Arial" w:cs="Arial"/>
          <w:b/>
          <w:bCs/>
        </w:rPr>
        <w:t>forte réduction des inégalités sociales</w:t>
      </w:r>
      <w:r w:rsidRPr="004178EC">
        <w:rPr>
          <w:rFonts w:ascii="Arial" w:hAnsi="Arial" w:cs="Arial"/>
          <w:b/>
          <w:bCs/>
        </w:rPr>
        <w:t xml:space="preserve"> </w:t>
      </w:r>
      <w:r w:rsidRPr="001311C8">
        <w:rPr>
          <w:rFonts w:ascii="Arial" w:hAnsi="Arial" w:cs="Arial"/>
          <w:b/>
          <w:bCs/>
        </w:rPr>
        <w:t>et</w:t>
      </w:r>
      <w:r w:rsidRPr="004178EC">
        <w:rPr>
          <w:rFonts w:ascii="Arial" w:hAnsi="Arial" w:cs="Arial"/>
          <w:b/>
          <w:bCs/>
        </w:rPr>
        <w:t xml:space="preserve"> </w:t>
      </w:r>
      <w:r w:rsidRPr="001311C8">
        <w:rPr>
          <w:rFonts w:ascii="Arial" w:hAnsi="Arial" w:cs="Arial"/>
          <w:b/>
          <w:bCs/>
        </w:rPr>
        <w:t>territoriales en matière d'offre de service enfance</w:t>
      </w:r>
      <w:r w:rsidRPr="004178EC">
        <w:rPr>
          <w:rFonts w:ascii="Arial" w:hAnsi="Arial" w:cs="Arial"/>
          <w:b/>
          <w:bCs/>
        </w:rPr>
        <w:t xml:space="preserve"> </w:t>
      </w:r>
      <w:r w:rsidRPr="001311C8">
        <w:rPr>
          <w:rFonts w:ascii="Arial" w:hAnsi="Arial" w:cs="Arial"/>
          <w:b/>
          <w:bCs/>
        </w:rPr>
        <w:t>et</w:t>
      </w:r>
      <w:r w:rsidRPr="004178EC">
        <w:rPr>
          <w:rFonts w:ascii="Arial" w:hAnsi="Arial" w:cs="Arial"/>
          <w:b/>
          <w:bCs/>
        </w:rPr>
        <w:t xml:space="preserve"> </w:t>
      </w:r>
      <w:r w:rsidRPr="001311C8">
        <w:rPr>
          <w:rFonts w:ascii="Arial" w:hAnsi="Arial" w:cs="Arial"/>
          <w:b/>
          <w:bCs/>
        </w:rPr>
        <w:t>jeunesse.</w:t>
      </w:r>
      <w:r w:rsidR="00107711">
        <w:rPr>
          <w:rFonts w:ascii="Arial" w:hAnsi="Arial" w:cs="Arial"/>
          <w:b/>
          <w:bCs/>
        </w:rPr>
        <w:t xml:space="preserve"> </w:t>
      </w:r>
      <w:r w:rsidRPr="001311C8">
        <w:rPr>
          <w:rFonts w:ascii="Arial" w:hAnsi="Arial" w:cs="Arial"/>
          <w:b/>
          <w:bCs/>
        </w:rPr>
        <w:t>Par le lancement de l'appel à projets</w:t>
      </w:r>
      <w:r w:rsidRPr="004178EC">
        <w:rPr>
          <w:rFonts w:ascii="Arial" w:hAnsi="Arial" w:cs="Arial"/>
          <w:b/>
          <w:bCs/>
        </w:rPr>
        <w:t xml:space="preserve"> </w:t>
      </w:r>
      <w:r w:rsidRPr="001311C8">
        <w:rPr>
          <w:rFonts w:ascii="Arial" w:hAnsi="Arial" w:cs="Arial"/>
          <w:b/>
          <w:bCs/>
        </w:rPr>
        <w:t>2026</w:t>
      </w:r>
      <w:r w:rsidRPr="004178EC">
        <w:rPr>
          <w:rFonts w:ascii="Arial" w:hAnsi="Arial" w:cs="Arial"/>
          <w:b/>
          <w:bCs/>
        </w:rPr>
        <w:t xml:space="preserve"> </w:t>
      </w:r>
      <w:r w:rsidRPr="001311C8">
        <w:rPr>
          <w:rFonts w:ascii="Arial" w:hAnsi="Arial" w:cs="Arial"/>
          <w:b/>
          <w:bCs/>
        </w:rPr>
        <w:t>"Fonds Publics et Territoires", la Caisse d’Allocations Familiales participe au financement des actions permettant de développer l'offre de service en direction des familles</w:t>
      </w:r>
      <w:r w:rsidRPr="004178EC">
        <w:rPr>
          <w:rFonts w:ascii="Arial" w:hAnsi="Arial" w:cs="Arial"/>
          <w:b/>
          <w:bCs/>
        </w:rPr>
        <w:t xml:space="preserve"> </w:t>
      </w:r>
      <w:r w:rsidRPr="001311C8">
        <w:rPr>
          <w:rFonts w:ascii="Arial" w:hAnsi="Arial" w:cs="Arial"/>
          <w:b/>
          <w:bCs/>
        </w:rPr>
        <w:t>et</w:t>
      </w:r>
      <w:r w:rsidRPr="004178EC">
        <w:rPr>
          <w:rFonts w:ascii="Arial" w:hAnsi="Arial" w:cs="Arial"/>
          <w:b/>
          <w:bCs/>
        </w:rPr>
        <w:t xml:space="preserve"> </w:t>
      </w:r>
      <w:r w:rsidRPr="001311C8">
        <w:rPr>
          <w:rFonts w:ascii="Arial" w:hAnsi="Arial" w:cs="Arial"/>
          <w:b/>
          <w:bCs/>
        </w:rPr>
        <w:t>de leurs enfants.</w:t>
      </w:r>
    </w:p>
    <w:p w14:paraId="094924C4" w14:textId="760D5619" w:rsidR="001311C8" w:rsidRPr="001311C8" w:rsidRDefault="001311C8" w:rsidP="004178EC">
      <w:pPr>
        <w:spacing w:after="0" w:line="240" w:lineRule="auto"/>
        <w:jc w:val="both"/>
        <w:rPr>
          <w:rFonts w:ascii="Arial" w:hAnsi="Arial" w:cs="Arial"/>
          <w:sz w:val="16"/>
          <w:szCs w:val="16"/>
        </w:rPr>
      </w:pPr>
    </w:p>
    <w:p w14:paraId="56142F4B" w14:textId="78EF50DA" w:rsidR="001311C8" w:rsidRPr="001311C8" w:rsidRDefault="004178EC" w:rsidP="004178EC">
      <w:pPr>
        <w:pBdr>
          <w:bottom w:val="single" w:sz="4" w:space="1" w:color="4472C4" w:themeColor="accent1"/>
        </w:pBdr>
        <w:spacing w:after="0" w:line="240" w:lineRule="auto"/>
        <w:jc w:val="both"/>
        <w:rPr>
          <w:rFonts w:ascii="Arial" w:hAnsi="Arial" w:cs="Arial"/>
          <w:b/>
          <w:bCs/>
          <w:color w:val="ED7D31" w:themeColor="accent2"/>
        </w:rPr>
      </w:pPr>
      <w:r w:rsidRPr="004178EC">
        <w:rPr>
          <w:rFonts w:ascii="Arial" w:hAnsi="Arial" w:cs="Arial"/>
          <w:b/>
          <w:bCs/>
          <w:color w:val="ED7D31" w:themeColor="accent2"/>
        </w:rPr>
        <w:t>LES PRINCIPES GENERAUX</w:t>
      </w:r>
    </w:p>
    <w:p w14:paraId="550031B7" w14:textId="77777777" w:rsidR="004178EC" w:rsidRPr="00107711" w:rsidRDefault="004178EC" w:rsidP="004178EC">
      <w:pPr>
        <w:spacing w:after="0" w:line="240" w:lineRule="auto"/>
        <w:jc w:val="both"/>
        <w:rPr>
          <w:rFonts w:ascii="Arial" w:hAnsi="Arial" w:cs="Arial"/>
          <w:sz w:val="16"/>
          <w:szCs w:val="16"/>
        </w:rPr>
      </w:pPr>
    </w:p>
    <w:p w14:paraId="5F674402" w14:textId="2B530FDA" w:rsidR="001311C8" w:rsidRDefault="001311C8" w:rsidP="004178EC">
      <w:pPr>
        <w:spacing w:after="0" w:line="240" w:lineRule="auto"/>
        <w:jc w:val="both"/>
        <w:rPr>
          <w:rFonts w:ascii="Arial" w:hAnsi="Arial" w:cs="Arial"/>
        </w:rPr>
      </w:pPr>
      <w:r w:rsidRPr="001311C8">
        <w:rPr>
          <w:rFonts w:ascii="Arial" w:hAnsi="Arial" w:cs="Arial"/>
        </w:rPr>
        <w:t xml:space="preserve">Les trois objectifs des actions financées par les </w:t>
      </w:r>
      <w:r w:rsidRPr="004178EC">
        <w:rPr>
          <w:rFonts w:ascii="Arial" w:hAnsi="Arial" w:cs="Arial"/>
        </w:rPr>
        <w:t>« </w:t>
      </w:r>
      <w:r w:rsidRPr="001311C8">
        <w:rPr>
          <w:rFonts w:ascii="Arial" w:hAnsi="Arial" w:cs="Arial"/>
        </w:rPr>
        <w:t>Fonds</w:t>
      </w:r>
      <w:r w:rsidRPr="004178EC">
        <w:rPr>
          <w:rFonts w:ascii="Arial" w:hAnsi="Arial" w:cs="Arial"/>
        </w:rPr>
        <w:t xml:space="preserve"> </w:t>
      </w:r>
      <w:r w:rsidRPr="001311C8">
        <w:rPr>
          <w:rFonts w:ascii="Arial" w:hAnsi="Arial" w:cs="Arial"/>
        </w:rPr>
        <w:t>Publics</w:t>
      </w:r>
      <w:r w:rsidRPr="004178EC">
        <w:rPr>
          <w:rFonts w:ascii="Arial" w:hAnsi="Arial" w:cs="Arial"/>
        </w:rPr>
        <w:t xml:space="preserve"> </w:t>
      </w:r>
      <w:r w:rsidRPr="001311C8">
        <w:rPr>
          <w:rFonts w:ascii="Arial" w:hAnsi="Arial" w:cs="Arial"/>
        </w:rPr>
        <w:t>et</w:t>
      </w:r>
      <w:r w:rsidRPr="004178EC">
        <w:rPr>
          <w:rFonts w:ascii="Arial" w:hAnsi="Arial" w:cs="Arial"/>
        </w:rPr>
        <w:t xml:space="preserve"> </w:t>
      </w:r>
      <w:r w:rsidRPr="001311C8">
        <w:rPr>
          <w:rFonts w:ascii="Arial" w:hAnsi="Arial" w:cs="Arial"/>
        </w:rPr>
        <w:t xml:space="preserve">Territoires" sont les </w:t>
      </w:r>
      <w:proofErr w:type="gramStart"/>
      <w:r w:rsidR="00107711" w:rsidRPr="001311C8">
        <w:rPr>
          <w:rFonts w:ascii="Arial" w:hAnsi="Arial" w:cs="Arial"/>
        </w:rPr>
        <w:t>suivants:</w:t>
      </w:r>
      <w:proofErr w:type="gramEnd"/>
    </w:p>
    <w:p w14:paraId="54B01564" w14:textId="2C1BB6F1" w:rsidR="001311C8" w:rsidRPr="004178EC" w:rsidRDefault="00107711" w:rsidP="004178EC">
      <w:pPr>
        <w:pStyle w:val="Paragraphedeliste"/>
        <w:numPr>
          <w:ilvl w:val="0"/>
          <w:numId w:val="15"/>
        </w:numPr>
        <w:spacing w:after="0" w:line="240" w:lineRule="auto"/>
        <w:jc w:val="both"/>
        <w:rPr>
          <w:rFonts w:ascii="Arial" w:hAnsi="Arial" w:cs="Arial"/>
        </w:rPr>
      </w:pPr>
      <w:r w:rsidRPr="004178EC">
        <w:rPr>
          <w:rFonts w:ascii="Arial" w:hAnsi="Arial" w:cs="Arial"/>
        </w:rPr>
        <w:t>Accompagner</w:t>
      </w:r>
      <w:r w:rsidR="001311C8" w:rsidRPr="004178EC">
        <w:rPr>
          <w:rFonts w:ascii="Arial" w:hAnsi="Arial" w:cs="Arial"/>
        </w:rPr>
        <w:t xml:space="preserve"> la structuration et l'adaptation de l'offre sur les territoires afin d'accroître son accessibilité</w:t>
      </w:r>
    </w:p>
    <w:p w14:paraId="04F5B132" w14:textId="5AC1A39F" w:rsidR="001311C8" w:rsidRPr="004178EC" w:rsidRDefault="00107711" w:rsidP="004178EC">
      <w:pPr>
        <w:pStyle w:val="Paragraphedeliste"/>
        <w:numPr>
          <w:ilvl w:val="0"/>
          <w:numId w:val="15"/>
        </w:numPr>
        <w:spacing w:after="0" w:line="240" w:lineRule="auto"/>
        <w:jc w:val="both"/>
        <w:rPr>
          <w:rFonts w:ascii="Arial" w:hAnsi="Arial" w:cs="Arial"/>
        </w:rPr>
      </w:pPr>
      <w:r w:rsidRPr="004178EC">
        <w:rPr>
          <w:rFonts w:ascii="Arial" w:hAnsi="Arial" w:cs="Arial"/>
        </w:rPr>
        <w:t>Agir</w:t>
      </w:r>
      <w:r w:rsidR="001311C8" w:rsidRPr="004178EC">
        <w:rPr>
          <w:rFonts w:ascii="Arial" w:hAnsi="Arial" w:cs="Arial"/>
        </w:rPr>
        <w:t xml:space="preserve"> sur l'autonomie des personnes et prévenir les situations d'exclusions</w:t>
      </w:r>
    </w:p>
    <w:p w14:paraId="17A8F2EC" w14:textId="1D17C3E6" w:rsidR="001311C8" w:rsidRPr="004178EC" w:rsidRDefault="00107711" w:rsidP="004178EC">
      <w:pPr>
        <w:pStyle w:val="Paragraphedeliste"/>
        <w:numPr>
          <w:ilvl w:val="0"/>
          <w:numId w:val="15"/>
        </w:numPr>
        <w:spacing w:after="0" w:line="240" w:lineRule="auto"/>
        <w:jc w:val="both"/>
        <w:rPr>
          <w:rFonts w:ascii="Arial" w:hAnsi="Arial" w:cs="Arial"/>
        </w:rPr>
      </w:pPr>
      <w:r w:rsidRPr="004178EC">
        <w:rPr>
          <w:rFonts w:ascii="Arial" w:hAnsi="Arial" w:cs="Arial"/>
        </w:rPr>
        <w:t>Expérimenter</w:t>
      </w:r>
      <w:r w:rsidR="001311C8" w:rsidRPr="004178EC">
        <w:rPr>
          <w:rFonts w:ascii="Arial" w:hAnsi="Arial" w:cs="Arial"/>
        </w:rPr>
        <w:t xml:space="preserve"> de nouveaux modes d'actions et de coopérations favorisant un investissement social pérenne</w:t>
      </w:r>
    </w:p>
    <w:p w14:paraId="4E475121" w14:textId="77777777" w:rsidR="001311C8" w:rsidRPr="00107711" w:rsidRDefault="001311C8" w:rsidP="004178EC">
      <w:pPr>
        <w:spacing w:after="0" w:line="240" w:lineRule="auto"/>
        <w:jc w:val="both"/>
        <w:rPr>
          <w:rFonts w:ascii="Arial" w:hAnsi="Arial" w:cs="Arial"/>
          <w:sz w:val="16"/>
          <w:szCs w:val="16"/>
        </w:rPr>
      </w:pPr>
    </w:p>
    <w:p w14:paraId="477BF451" w14:textId="4788DE43" w:rsidR="001311C8" w:rsidRPr="001311C8" w:rsidRDefault="001311C8" w:rsidP="004178EC">
      <w:pPr>
        <w:spacing w:after="0" w:line="240" w:lineRule="auto"/>
        <w:jc w:val="both"/>
        <w:rPr>
          <w:rFonts w:ascii="Arial" w:hAnsi="Arial" w:cs="Arial"/>
        </w:rPr>
      </w:pPr>
      <w:r w:rsidRPr="001311C8">
        <w:rPr>
          <w:rFonts w:ascii="Arial" w:hAnsi="Arial" w:cs="Arial"/>
        </w:rPr>
        <w:t>Le</w:t>
      </w:r>
      <w:r w:rsidRPr="004178EC">
        <w:rPr>
          <w:rFonts w:ascii="Arial" w:hAnsi="Arial" w:cs="Arial"/>
        </w:rPr>
        <w:t xml:space="preserve"> « </w:t>
      </w:r>
      <w:r w:rsidRPr="001311C8">
        <w:rPr>
          <w:rFonts w:ascii="Arial" w:hAnsi="Arial" w:cs="Arial"/>
        </w:rPr>
        <w:t>fonds</w:t>
      </w:r>
      <w:r w:rsidRPr="004178EC">
        <w:rPr>
          <w:rFonts w:ascii="Arial" w:hAnsi="Arial" w:cs="Arial"/>
        </w:rPr>
        <w:t xml:space="preserve"> </w:t>
      </w:r>
      <w:r w:rsidRPr="001311C8">
        <w:rPr>
          <w:rFonts w:ascii="Arial" w:hAnsi="Arial" w:cs="Arial"/>
        </w:rPr>
        <w:t>publics</w:t>
      </w:r>
      <w:r w:rsidRPr="004178EC">
        <w:rPr>
          <w:rFonts w:ascii="Arial" w:hAnsi="Arial" w:cs="Arial"/>
        </w:rPr>
        <w:t xml:space="preserve"> </w:t>
      </w:r>
      <w:r w:rsidRPr="001311C8">
        <w:rPr>
          <w:rFonts w:ascii="Arial" w:hAnsi="Arial" w:cs="Arial"/>
        </w:rPr>
        <w:t>et</w:t>
      </w:r>
      <w:r w:rsidRPr="004178EC">
        <w:rPr>
          <w:rFonts w:ascii="Arial" w:hAnsi="Arial" w:cs="Arial"/>
        </w:rPr>
        <w:t xml:space="preserve"> </w:t>
      </w:r>
      <w:r w:rsidRPr="001311C8">
        <w:rPr>
          <w:rFonts w:ascii="Arial" w:hAnsi="Arial" w:cs="Arial"/>
        </w:rPr>
        <w:t>territoires</w:t>
      </w:r>
      <w:r w:rsidRPr="004178EC">
        <w:rPr>
          <w:rFonts w:ascii="Arial" w:hAnsi="Arial" w:cs="Arial"/>
        </w:rPr>
        <w:t xml:space="preserve"> </w:t>
      </w:r>
      <w:r w:rsidRPr="001311C8">
        <w:rPr>
          <w:rFonts w:ascii="Arial" w:hAnsi="Arial" w:cs="Arial"/>
        </w:rPr>
        <w:t>comporte 7 axes d'intervention.</w:t>
      </w:r>
    </w:p>
    <w:p w14:paraId="5B5B0D54" w14:textId="77777777" w:rsidR="004178EC" w:rsidRPr="001311C8" w:rsidRDefault="004178EC" w:rsidP="004178EC">
      <w:pPr>
        <w:spacing w:after="0" w:line="240" w:lineRule="auto"/>
        <w:jc w:val="both"/>
        <w:rPr>
          <w:rFonts w:ascii="Arial" w:hAnsi="Arial" w:cs="Arial"/>
          <w:sz w:val="16"/>
          <w:szCs w:val="16"/>
        </w:rPr>
      </w:pPr>
    </w:p>
    <w:p w14:paraId="589F9A55" w14:textId="4A343AB0" w:rsidR="001311C8" w:rsidRPr="001311C8" w:rsidRDefault="004178EC" w:rsidP="004178EC">
      <w:pPr>
        <w:pBdr>
          <w:bottom w:val="single" w:sz="4" w:space="1" w:color="4472C4" w:themeColor="accent1"/>
        </w:pBdr>
        <w:spacing w:after="0" w:line="240" w:lineRule="auto"/>
        <w:jc w:val="both"/>
        <w:rPr>
          <w:rFonts w:ascii="Arial" w:hAnsi="Arial" w:cs="Arial"/>
          <w:b/>
          <w:bCs/>
          <w:color w:val="ED7D31" w:themeColor="accent2"/>
        </w:rPr>
      </w:pPr>
      <w:r w:rsidRPr="004178EC">
        <w:rPr>
          <w:rFonts w:ascii="Arial" w:hAnsi="Arial" w:cs="Arial"/>
          <w:b/>
          <w:bCs/>
          <w:color w:val="ED7D31" w:themeColor="accent2"/>
        </w:rPr>
        <w:t>LES PRIORITES DE L’APPEL A PROJET 2026</w:t>
      </w:r>
    </w:p>
    <w:p w14:paraId="425EB89E" w14:textId="77777777" w:rsidR="004178EC" w:rsidRPr="00107711" w:rsidRDefault="004178EC" w:rsidP="004178EC">
      <w:pPr>
        <w:spacing w:after="0" w:line="240" w:lineRule="auto"/>
        <w:jc w:val="both"/>
        <w:rPr>
          <w:rFonts w:ascii="Arial" w:hAnsi="Arial" w:cs="Arial"/>
          <w:sz w:val="16"/>
          <w:szCs w:val="16"/>
        </w:rPr>
      </w:pPr>
    </w:p>
    <w:p w14:paraId="7DF08112" w14:textId="34CC1321" w:rsidR="001311C8" w:rsidRPr="001311C8" w:rsidRDefault="001311C8" w:rsidP="004178EC">
      <w:pPr>
        <w:spacing w:after="0" w:line="240" w:lineRule="auto"/>
        <w:jc w:val="both"/>
        <w:rPr>
          <w:rFonts w:ascii="Arial" w:hAnsi="Arial" w:cs="Arial"/>
          <w:b/>
          <w:bCs/>
        </w:rPr>
      </w:pPr>
      <w:r w:rsidRPr="001311C8">
        <w:rPr>
          <w:rFonts w:ascii="Arial" w:hAnsi="Arial" w:cs="Arial"/>
          <w:b/>
          <w:bCs/>
        </w:rPr>
        <w:t xml:space="preserve">Cette année, la Caf du </w:t>
      </w:r>
      <w:r w:rsidR="004178EC" w:rsidRPr="004178EC">
        <w:rPr>
          <w:rFonts w:ascii="Arial" w:hAnsi="Arial" w:cs="Arial"/>
          <w:b/>
          <w:bCs/>
        </w:rPr>
        <w:t>Cantal</w:t>
      </w:r>
      <w:r w:rsidRPr="001311C8">
        <w:rPr>
          <w:rFonts w:ascii="Arial" w:hAnsi="Arial" w:cs="Arial"/>
          <w:b/>
          <w:bCs/>
        </w:rPr>
        <w:t xml:space="preserve"> soutiendra les projets répondants aux critères des 6 axes suivants dans la limite de ses enveloppes budgétaires.</w:t>
      </w:r>
    </w:p>
    <w:p w14:paraId="0E9499B6" w14:textId="77777777" w:rsidR="001311C8" w:rsidRPr="001311C8" w:rsidRDefault="001311C8" w:rsidP="004178EC">
      <w:pPr>
        <w:spacing w:after="0" w:line="240" w:lineRule="auto"/>
        <w:jc w:val="both"/>
        <w:rPr>
          <w:rFonts w:ascii="Arial" w:hAnsi="Arial" w:cs="Arial"/>
          <w:sz w:val="16"/>
          <w:szCs w:val="16"/>
        </w:rPr>
      </w:pPr>
      <w:r w:rsidRPr="001311C8">
        <w:rPr>
          <w:rFonts w:ascii="Arial" w:hAnsi="Arial" w:cs="Arial"/>
          <w:sz w:val="16"/>
          <w:szCs w:val="16"/>
        </w:rPr>
        <w:t> </w:t>
      </w:r>
    </w:p>
    <w:p w14:paraId="75D98C7E" w14:textId="77777777" w:rsidR="001311C8" w:rsidRPr="004178EC" w:rsidRDefault="001311C8" w:rsidP="004178EC">
      <w:pPr>
        <w:pStyle w:val="Paragraphedeliste"/>
        <w:numPr>
          <w:ilvl w:val="0"/>
          <w:numId w:val="16"/>
        </w:numPr>
        <w:tabs>
          <w:tab w:val="center" w:pos="284"/>
        </w:tabs>
        <w:spacing w:after="0" w:line="240" w:lineRule="auto"/>
        <w:ind w:left="284" w:hanging="218"/>
        <w:jc w:val="both"/>
        <w:rPr>
          <w:rFonts w:ascii="Arial" w:hAnsi="Arial" w:cs="Arial"/>
          <w:b/>
          <w:bCs/>
          <w:color w:val="ED7D31" w:themeColor="accent2"/>
        </w:rPr>
      </w:pPr>
      <w:r w:rsidRPr="004178EC">
        <w:rPr>
          <w:rFonts w:ascii="Arial" w:hAnsi="Arial" w:cs="Arial"/>
          <w:b/>
          <w:bCs/>
          <w:color w:val="ED7D31" w:themeColor="accent2"/>
        </w:rPr>
        <w:t>Axe 1 : Accueil des enfants et des adolescents en situation de handicap dans les structures et services d’accueil de droit commun</w:t>
      </w:r>
    </w:p>
    <w:p w14:paraId="35EFB283" w14:textId="2E3A53AC" w:rsidR="001311C8" w:rsidRPr="004178EC" w:rsidRDefault="001311C8" w:rsidP="004178EC">
      <w:pPr>
        <w:pStyle w:val="Paragraphedeliste"/>
        <w:numPr>
          <w:ilvl w:val="0"/>
          <w:numId w:val="17"/>
        </w:numPr>
        <w:spacing w:after="0" w:line="240" w:lineRule="auto"/>
        <w:jc w:val="both"/>
        <w:rPr>
          <w:rFonts w:ascii="Arial" w:hAnsi="Arial" w:cs="Arial"/>
        </w:rPr>
      </w:pPr>
      <w:r w:rsidRPr="004178EC">
        <w:rPr>
          <w:rFonts w:ascii="Arial" w:hAnsi="Arial" w:cs="Arial"/>
          <w:b/>
          <w:bCs/>
          <w:color w:val="4472C4" w:themeColor="accent1"/>
        </w:rPr>
        <w:t>Volet 2</w:t>
      </w:r>
      <w:r w:rsidRPr="004178EC">
        <w:rPr>
          <w:rFonts w:ascii="Arial" w:hAnsi="Arial" w:cs="Arial"/>
        </w:rPr>
        <w:t xml:space="preserve"> : Engager les professionnel(le)s de la petite-enfance dans l’inclusion des enfants en situation de handicap.</w:t>
      </w:r>
    </w:p>
    <w:p w14:paraId="47A0256E" w14:textId="79F6C3B6" w:rsidR="001311C8" w:rsidRPr="004178EC" w:rsidRDefault="001311C8" w:rsidP="004178EC">
      <w:pPr>
        <w:pStyle w:val="Paragraphedeliste"/>
        <w:numPr>
          <w:ilvl w:val="0"/>
          <w:numId w:val="17"/>
        </w:numPr>
        <w:spacing w:after="0" w:line="240" w:lineRule="auto"/>
        <w:jc w:val="both"/>
        <w:rPr>
          <w:rFonts w:ascii="Arial" w:hAnsi="Arial" w:cs="Arial"/>
        </w:rPr>
      </w:pPr>
      <w:r w:rsidRPr="004178EC">
        <w:rPr>
          <w:rFonts w:ascii="Arial" w:hAnsi="Arial" w:cs="Arial"/>
          <w:b/>
          <w:bCs/>
          <w:color w:val="4472C4" w:themeColor="accent1"/>
        </w:rPr>
        <w:t>Volet 3</w:t>
      </w:r>
      <w:r w:rsidRPr="004178EC">
        <w:rPr>
          <w:rFonts w:ascii="Arial" w:hAnsi="Arial" w:cs="Arial"/>
        </w:rPr>
        <w:t xml:space="preserve"> : Renforcer les dynamiques inclusives en </w:t>
      </w:r>
      <w:proofErr w:type="spellStart"/>
      <w:r w:rsidRPr="004178EC">
        <w:rPr>
          <w:rFonts w:ascii="Arial" w:hAnsi="Arial" w:cs="Arial"/>
        </w:rPr>
        <w:t>Alsh</w:t>
      </w:r>
      <w:proofErr w:type="spellEnd"/>
      <w:r w:rsidRPr="004178EC">
        <w:rPr>
          <w:rFonts w:ascii="Arial" w:hAnsi="Arial" w:cs="Arial"/>
        </w:rPr>
        <w:t xml:space="preserve"> et accueils de jeunes en garantissant l’opérationnalité des solutions d’accueil</w:t>
      </w:r>
    </w:p>
    <w:p w14:paraId="65C8BEA1" w14:textId="77777777" w:rsidR="001311C8" w:rsidRPr="004178EC" w:rsidRDefault="001311C8" w:rsidP="004178EC">
      <w:pPr>
        <w:pStyle w:val="Paragraphedeliste"/>
        <w:numPr>
          <w:ilvl w:val="0"/>
          <w:numId w:val="17"/>
        </w:numPr>
        <w:spacing w:after="0" w:line="240" w:lineRule="auto"/>
        <w:jc w:val="both"/>
        <w:rPr>
          <w:rFonts w:ascii="Arial" w:hAnsi="Arial" w:cs="Arial"/>
        </w:rPr>
      </w:pPr>
      <w:r w:rsidRPr="004178EC">
        <w:rPr>
          <w:rFonts w:ascii="Arial" w:hAnsi="Arial" w:cs="Arial"/>
          <w:b/>
          <w:bCs/>
          <w:color w:val="4472C4" w:themeColor="accent1"/>
        </w:rPr>
        <w:t>Volet 4 :</w:t>
      </w:r>
      <w:r w:rsidRPr="004178EC">
        <w:rPr>
          <w:rFonts w:ascii="Arial" w:hAnsi="Arial" w:cs="Arial"/>
        </w:rPr>
        <w:t xml:space="preserve"> Favoriser l’inclusion des enfants et adolescents en situation de handicap dans les autres services d’accueil (lieux d’accueil enfants parents, ludothèques, </w:t>
      </w:r>
      <w:proofErr w:type="spellStart"/>
      <w:r w:rsidRPr="004178EC">
        <w:rPr>
          <w:rFonts w:ascii="Arial" w:hAnsi="Arial" w:cs="Arial"/>
        </w:rPr>
        <w:t>Clas</w:t>
      </w:r>
      <w:proofErr w:type="spellEnd"/>
      <w:r w:rsidRPr="004178EC">
        <w:rPr>
          <w:rFonts w:ascii="Arial" w:hAnsi="Arial" w:cs="Arial"/>
        </w:rPr>
        <w:t xml:space="preserve">, centres sociaux et </w:t>
      </w:r>
      <w:proofErr w:type="spellStart"/>
      <w:r w:rsidRPr="004178EC">
        <w:rPr>
          <w:rFonts w:ascii="Arial" w:hAnsi="Arial" w:cs="Arial"/>
        </w:rPr>
        <w:t>Evs</w:t>
      </w:r>
      <w:proofErr w:type="spellEnd"/>
      <w:r w:rsidRPr="004178EC">
        <w:rPr>
          <w:rFonts w:ascii="Arial" w:hAnsi="Arial" w:cs="Arial"/>
        </w:rPr>
        <w:t xml:space="preserve"> etc…).</w:t>
      </w:r>
    </w:p>
    <w:p w14:paraId="6146263D" w14:textId="77777777" w:rsidR="001311C8" w:rsidRPr="001311C8" w:rsidRDefault="001311C8" w:rsidP="004178EC">
      <w:pPr>
        <w:pStyle w:val="Paragraphedeliste"/>
        <w:numPr>
          <w:ilvl w:val="0"/>
          <w:numId w:val="16"/>
        </w:numPr>
        <w:tabs>
          <w:tab w:val="center" w:pos="284"/>
        </w:tabs>
        <w:spacing w:after="0" w:line="240" w:lineRule="auto"/>
        <w:ind w:left="284" w:hanging="218"/>
        <w:jc w:val="both"/>
        <w:rPr>
          <w:rFonts w:ascii="Arial" w:hAnsi="Arial" w:cs="Arial"/>
          <w:b/>
          <w:bCs/>
          <w:color w:val="ED7D31" w:themeColor="accent2"/>
        </w:rPr>
      </w:pPr>
      <w:r w:rsidRPr="001311C8">
        <w:rPr>
          <w:rFonts w:ascii="Arial" w:hAnsi="Arial" w:cs="Arial"/>
          <w:b/>
          <w:bCs/>
          <w:color w:val="ED7D31" w:themeColor="accent2"/>
        </w:rPr>
        <w:t>Axe 2 : Améliorer la qualité et l’accessibilité des accueils collectifs et individuels des jeunes enfants</w:t>
      </w:r>
    </w:p>
    <w:p w14:paraId="5B35E6BF" w14:textId="77777777" w:rsidR="001311C8" w:rsidRPr="001311C8" w:rsidRDefault="001311C8" w:rsidP="004178EC">
      <w:pPr>
        <w:pStyle w:val="Paragraphedeliste"/>
        <w:numPr>
          <w:ilvl w:val="0"/>
          <w:numId w:val="17"/>
        </w:numPr>
        <w:spacing w:after="0" w:line="240" w:lineRule="auto"/>
        <w:jc w:val="both"/>
        <w:rPr>
          <w:rFonts w:ascii="Arial" w:hAnsi="Arial" w:cs="Arial"/>
        </w:rPr>
      </w:pPr>
      <w:r w:rsidRPr="001311C8">
        <w:rPr>
          <w:rFonts w:ascii="Arial" w:hAnsi="Arial" w:cs="Arial"/>
          <w:b/>
          <w:bCs/>
          <w:color w:val="4472C4" w:themeColor="accent1"/>
        </w:rPr>
        <w:t>Volet 1 :</w:t>
      </w:r>
      <w:r w:rsidRPr="001311C8">
        <w:rPr>
          <w:rFonts w:ascii="Arial" w:hAnsi="Arial" w:cs="Arial"/>
        </w:rPr>
        <w:t xml:space="preserve"> Renforcer l’accessibilité des modes d’accueil</w:t>
      </w:r>
    </w:p>
    <w:p w14:paraId="3DE21F81" w14:textId="77777777" w:rsidR="001311C8" w:rsidRPr="001311C8" w:rsidRDefault="001311C8" w:rsidP="004178EC">
      <w:pPr>
        <w:pStyle w:val="Paragraphedeliste"/>
        <w:numPr>
          <w:ilvl w:val="0"/>
          <w:numId w:val="17"/>
        </w:numPr>
        <w:spacing w:after="0" w:line="240" w:lineRule="auto"/>
        <w:jc w:val="both"/>
        <w:rPr>
          <w:rFonts w:ascii="Arial" w:hAnsi="Arial" w:cs="Arial"/>
        </w:rPr>
      </w:pPr>
      <w:r w:rsidRPr="001311C8">
        <w:rPr>
          <w:rFonts w:ascii="Arial" w:hAnsi="Arial" w:cs="Arial"/>
          <w:b/>
          <w:bCs/>
          <w:color w:val="4472C4" w:themeColor="accent1"/>
        </w:rPr>
        <w:t>Volet 2 :</w:t>
      </w:r>
      <w:r w:rsidRPr="001311C8">
        <w:rPr>
          <w:rFonts w:ascii="Arial" w:hAnsi="Arial" w:cs="Arial"/>
        </w:rPr>
        <w:t xml:space="preserve"> Enrichir les équipes et les projets d’accueil en </w:t>
      </w:r>
      <w:proofErr w:type="spellStart"/>
      <w:r w:rsidRPr="001311C8">
        <w:rPr>
          <w:rFonts w:ascii="Arial" w:hAnsi="Arial" w:cs="Arial"/>
        </w:rPr>
        <w:t>Eaje</w:t>
      </w:r>
      <w:proofErr w:type="spellEnd"/>
      <w:r w:rsidRPr="001311C8">
        <w:rPr>
          <w:rFonts w:ascii="Arial" w:hAnsi="Arial" w:cs="Arial"/>
        </w:rPr>
        <w:t> </w:t>
      </w:r>
    </w:p>
    <w:p w14:paraId="26DF63D8" w14:textId="77777777" w:rsidR="001311C8" w:rsidRPr="001311C8" w:rsidRDefault="001311C8" w:rsidP="004178EC">
      <w:pPr>
        <w:pStyle w:val="Paragraphedeliste"/>
        <w:numPr>
          <w:ilvl w:val="0"/>
          <w:numId w:val="17"/>
        </w:numPr>
        <w:spacing w:after="0" w:line="240" w:lineRule="auto"/>
        <w:jc w:val="both"/>
        <w:rPr>
          <w:rFonts w:ascii="Arial" w:hAnsi="Arial" w:cs="Arial"/>
        </w:rPr>
      </w:pPr>
      <w:r w:rsidRPr="001311C8">
        <w:rPr>
          <w:rFonts w:ascii="Arial" w:hAnsi="Arial" w:cs="Arial"/>
          <w:b/>
          <w:bCs/>
          <w:color w:val="4472C4" w:themeColor="accent1"/>
        </w:rPr>
        <w:t>Volet 3</w:t>
      </w:r>
      <w:r w:rsidRPr="001311C8">
        <w:rPr>
          <w:rFonts w:ascii="Arial" w:hAnsi="Arial" w:cs="Arial"/>
        </w:rPr>
        <w:t> : Faciliter le recours à l’accueil individuel et accompagner la qualité des pratiques et des carrières professionnelles</w:t>
      </w:r>
    </w:p>
    <w:p w14:paraId="63060FFC" w14:textId="0ABF1D66" w:rsidR="001311C8" w:rsidRPr="001311C8" w:rsidRDefault="001311C8" w:rsidP="004178EC">
      <w:pPr>
        <w:spacing w:after="0" w:line="240" w:lineRule="auto"/>
        <w:jc w:val="both"/>
        <w:rPr>
          <w:rFonts w:ascii="Arial" w:hAnsi="Arial" w:cs="Arial"/>
          <w:sz w:val="16"/>
          <w:szCs w:val="16"/>
        </w:rPr>
      </w:pPr>
    </w:p>
    <w:p w14:paraId="7AA0316D" w14:textId="6D69BE92" w:rsidR="001311C8" w:rsidRPr="001311C8" w:rsidRDefault="001311C8" w:rsidP="004178EC">
      <w:pPr>
        <w:pStyle w:val="Paragraphedeliste"/>
        <w:numPr>
          <w:ilvl w:val="0"/>
          <w:numId w:val="16"/>
        </w:numPr>
        <w:tabs>
          <w:tab w:val="center" w:pos="284"/>
        </w:tabs>
        <w:spacing w:after="0" w:line="240" w:lineRule="auto"/>
        <w:ind w:left="284" w:hanging="218"/>
        <w:jc w:val="both"/>
        <w:rPr>
          <w:rFonts w:ascii="Arial" w:hAnsi="Arial" w:cs="Arial"/>
          <w:b/>
          <w:bCs/>
          <w:color w:val="ED7D31" w:themeColor="accent2"/>
        </w:rPr>
      </w:pPr>
      <w:r w:rsidRPr="001311C8">
        <w:rPr>
          <w:rFonts w:ascii="Arial" w:hAnsi="Arial" w:cs="Arial"/>
          <w:b/>
          <w:bCs/>
          <w:color w:val="ED7D31" w:themeColor="accent2"/>
        </w:rPr>
        <w:t>Axe 3 : Favoriser l'engagement et la participation des enfants et des jeunes</w:t>
      </w:r>
    </w:p>
    <w:p w14:paraId="6E951E9A" w14:textId="46FC8626" w:rsidR="001311C8" w:rsidRPr="004178EC" w:rsidRDefault="001311C8" w:rsidP="004178EC">
      <w:pPr>
        <w:pStyle w:val="Paragraphedeliste"/>
        <w:numPr>
          <w:ilvl w:val="0"/>
          <w:numId w:val="17"/>
        </w:numPr>
        <w:spacing w:after="0" w:line="240" w:lineRule="auto"/>
        <w:jc w:val="both"/>
        <w:rPr>
          <w:rFonts w:ascii="Arial" w:hAnsi="Arial" w:cs="Arial"/>
        </w:rPr>
      </w:pPr>
      <w:r w:rsidRPr="001311C8">
        <w:rPr>
          <w:rFonts w:ascii="Arial" w:hAnsi="Arial" w:cs="Arial"/>
          <w:b/>
          <w:bCs/>
          <w:color w:val="4472C4" w:themeColor="accent1"/>
        </w:rPr>
        <w:t>Volet 1</w:t>
      </w:r>
      <w:r w:rsidRPr="001311C8">
        <w:rPr>
          <w:rFonts w:ascii="Arial" w:hAnsi="Arial" w:cs="Arial"/>
        </w:rPr>
        <w:t xml:space="preserve"> :</w:t>
      </w:r>
      <w:r w:rsidRPr="004178EC">
        <w:rPr>
          <w:rFonts w:ascii="Arial" w:hAnsi="Arial" w:cs="Arial"/>
        </w:rPr>
        <w:t xml:space="preserve"> </w:t>
      </w:r>
      <w:r w:rsidRPr="001311C8">
        <w:rPr>
          <w:rFonts w:ascii="Arial" w:hAnsi="Arial" w:cs="Arial"/>
        </w:rPr>
        <w:t>Renforcer l'accès des enfants et des adolescents aux loisirs éducatifs en accompagnant le développement d'une offre de loisirs en faveur des publics les plus vulnérables et en soutenant l’essaimage d’initiatives concourant à l’éveil citoyen, artistique, culturel, scientifique et écologique.</w:t>
      </w:r>
    </w:p>
    <w:p w14:paraId="55081403" w14:textId="0F9FF0ED" w:rsidR="001311C8" w:rsidRPr="001311C8" w:rsidRDefault="001311C8" w:rsidP="004178EC">
      <w:pPr>
        <w:pStyle w:val="Paragraphedeliste"/>
        <w:numPr>
          <w:ilvl w:val="0"/>
          <w:numId w:val="17"/>
        </w:numPr>
        <w:spacing w:after="0" w:line="240" w:lineRule="auto"/>
        <w:jc w:val="both"/>
        <w:rPr>
          <w:rFonts w:ascii="Arial" w:hAnsi="Arial" w:cs="Arial"/>
          <w:b/>
          <w:bCs/>
          <w:color w:val="FF0000"/>
        </w:rPr>
      </w:pPr>
      <w:r w:rsidRPr="004178EC">
        <w:rPr>
          <w:rFonts w:ascii="Arial" w:hAnsi="Arial" w:cs="Arial"/>
          <w:b/>
          <w:bCs/>
          <w:color w:val="4472C4" w:themeColor="accent1"/>
        </w:rPr>
        <w:t>Volet 2 :</w:t>
      </w:r>
      <w:r w:rsidRPr="004178EC">
        <w:rPr>
          <w:rFonts w:ascii="Arial" w:hAnsi="Arial" w:cs="Arial"/>
        </w:rPr>
        <w:t xml:space="preserve"> Soutenir les engagements et les initiatives des jeunes (</w:t>
      </w:r>
      <w:r w:rsidRPr="00107711">
        <w:rPr>
          <w:rFonts w:ascii="Arial" w:hAnsi="Arial" w:cs="Arial"/>
          <w:b/>
          <w:bCs/>
          <w:color w:val="FF0000"/>
        </w:rPr>
        <w:t>fait l’objet d’un appel à projet spécifique)</w:t>
      </w:r>
    </w:p>
    <w:p w14:paraId="69C3EB76" w14:textId="569021F8" w:rsidR="001311C8" w:rsidRPr="001311C8" w:rsidRDefault="001311C8" w:rsidP="004178EC">
      <w:pPr>
        <w:pStyle w:val="Paragraphedeliste"/>
        <w:numPr>
          <w:ilvl w:val="0"/>
          <w:numId w:val="17"/>
        </w:numPr>
        <w:spacing w:after="0" w:line="240" w:lineRule="auto"/>
        <w:jc w:val="both"/>
        <w:rPr>
          <w:rFonts w:ascii="Arial" w:hAnsi="Arial" w:cs="Arial"/>
        </w:rPr>
      </w:pPr>
      <w:r w:rsidRPr="001311C8">
        <w:rPr>
          <w:rFonts w:ascii="Arial" w:hAnsi="Arial" w:cs="Arial"/>
          <w:b/>
          <w:bCs/>
          <w:color w:val="4472C4" w:themeColor="accent1"/>
        </w:rPr>
        <w:t>Volet 3</w:t>
      </w:r>
      <w:r w:rsidRPr="001311C8">
        <w:rPr>
          <w:rFonts w:ascii="Arial" w:hAnsi="Arial" w:cs="Arial"/>
        </w:rPr>
        <w:t xml:space="preserve"> : Soutenir les initiatives numériques en direction des enfants et des jeunes.</w:t>
      </w:r>
    </w:p>
    <w:p w14:paraId="7A5D20DF" w14:textId="77777777" w:rsidR="00107711" w:rsidRPr="00107711" w:rsidRDefault="00107711" w:rsidP="00107711">
      <w:pPr>
        <w:spacing w:after="0" w:line="240" w:lineRule="auto"/>
        <w:jc w:val="both"/>
        <w:rPr>
          <w:rFonts w:ascii="Arial" w:hAnsi="Arial" w:cs="Arial"/>
          <w:sz w:val="16"/>
          <w:szCs w:val="16"/>
        </w:rPr>
      </w:pPr>
    </w:p>
    <w:p w14:paraId="02D5D004" w14:textId="660A4BDA" w:rsidR="001311C8" w:rsidRPr="001311C8" w:rsidRDefault="001311C8" w:rsidP="004178EC">
      <w:pPr>
        <w:pStyle w:val="Paragraphedeliste"/>
        <w:numPr>
          <w:ilvl w:val="0"/>
          <w:numId w:val="16"/>
        </w:numPr>
        <w:tabs>
          <w:tab w:val="center" w:pos="284"/>
        </w:tabs>
        <w:spacing w:after="0" w:line="240" w:lineRule="auto"/>
        <w:ind w:left="284" w:hanging="218"/>
        <w:jc w:val="both"/>
        <w:rPr>
          <w:rFonts w:ascii="Arial" w:hAnsi="Arial" w:cs="Arial"/>
          <w:b/>
          <w:bCs/>
          <w:color w:val="ED7D31" w:themeColor="accent2"/>
        </w:rPr>
      </w:pPr>
      <w:r w:rsidRPr="001311C8">
        <w:rPr>
          <w:rFonts w:ascii="Arial" w:hAnsi="Arial" w:cs="Arial"/>
          <w:b/>
          <w:bCs/>
          <w:color w:val="ED7D31" w:themeColor="accent2"/>
        </w:rPr>
        <w:t>Axe 4 : Accompagner le maintien et le développement des équipements et services dans des territoires spécifiques</w:t>
      </w:r>
    </w:p>
    <w:p w14:paraId="5F99D07D" w14:textId="0458F60F" w:rsidR="001311C8" w:rsidRPr="001311C8" w:rsidRDefault="001311C8" w:rsidP="004178EC">
      <w:pPr>
        <w:pStyle w:val="Paragraphedeliste"/>
        <w:numPr>
          <w:ilvl w:val="0"/>
          <w:numId w:val="17"/>
        </w:numPr>
        <w:spacing w:after="0" w:line="240" w:lineRule="auto"/>
        <w:jc w:val="both"/>
        <w:rPr>
          <w:rFonts w:ascii="Arial" w:hAnsi="Arial" w:cs="Arial"/>
        </w:rPr>
      </w:pPr>
      <w:r w:rsidRPr="001311C8">
        <w:rPr>
          <w:rFonts w:ascii="Arial" w:hAnsi="Arial" w:cs="Arial"/>
          <w:b/>
          <w:bCs/>
          <w:color w:val="4472C4" w:themeColor="accent1"/>
        </w:rPr>
        <w:t>Volet 1</w:t>
      </w:r>
      <w:r w:rsidRPr="001311C8">
        <w:rPr>
          <w:rFonts w:ascii="Arial" w:hAnsi="Arial" w:cs="Arial"/>
        </w:rPr>
        <w:t xml:space="preserve"> :</w:t>
      </w:r>
      <w:r w:rsidR="000C24AE" w:rsidRPr="004178EC">
        <w:rPr>
          <w:rFonts w:ascii="Arial" w:hAnsi="Arial" w:cs="Arial"/>
        </w:rPr>
        <w:t xml:space="preserve"> </w:t>
      </w:r>
      <w:r w:rsidRPr="001311C8">
        <w:rPr>
          <w:rFonts w:ascii="Arial" w:hAnsi="Arial" w:cs="Arial"/>
        </w:rPr>
        <w:t>Soutenir les structures et services aux familles (petite enfance, enfance jeunesse, parentalité et animation de la vie sociale) implantées dans des territoires en difficulté</w:t>
      </w:r>
      <w:r w:rsidR="000C24AE" w:rsidRPr="004178EC">
        <w:rPr>
          <w:rFonts w:ascii="Arial" w:hAnsi="Arial" w:cs="Arial"/>
        </w:rPr>
        <w:t xml:space="preserve"> (</w:t>
      </w:r>
      <w:r w:rsidR="000C24AE" w:rsidRPr="00107711">
        <w:rPr>
          <w:rFonts w:ascii="Arial" w:hAnsi="Arial" w:cs="Arial"/>
          <w:b/>
          <w:bCs/>
          <w:color w:val="FF0000"/>
        </w:rPr>
        <w:t>QPV et ZFRR</w:t>
      </w:r>
      <w:r w:rsidR="000C24AE" w:rsidRPr="004178EC">
        <w:rPr>
          <w:rFonts w:ascii="Arial" w:hAnsi="Arial" w:cs="Arial"/>
        </w:rPr>
        <w:t>)</w:t>
      </w:r>
    </w:p>
    <w:p w14:paraId="2AE03D9B" w14:textId="77777777" w:rsidR="001311C8" w:rsidRPr="001311C8" w:rsidRDefault="001311C8" w:rsidP="004178EC">
      <w:pPr>
        <w:pStyle w:val="Paragraphedeliste"/>
        <w:numPr>
          <w:ilvl w:val="0"/>
          <w:numId w:val="17"/>
        </w:numPr>
        <w:spacing w:after="0" w:line="240" w:lineRule="auto"/>
        <w:jc w:val="both"/>
        <w:rPr>
          <w:rFonts w:ascii="Arial" w:hAnsi="Arial" w:cs="Arial"/>
        </w:rPr>
      </w:pPr>
      <w:r w:rsidRPr="001311C8">
        <w:rPr>
          <w:rFonts w:ascii="Arial" w:hAnsi="Arial" w:cs="Arial"/>
          <w:b/>
          <w:bCs/>
          <w:color w:val="4472C4" w:themeColor="accent1"/>
        </w:rPr>
        <w:t>Volet 2</w:t>
      </w:r>
      <w:r w:rsidRPr="001311C8">
        <w:rPr>
          <w:rFonts w:ascii="Arial" w:hAnsi="Arial" w:cs="Arial"/>
        </w:rPr>
        <w:t xml:space="preserve"> : Développer les projets itinérants adaptés à la configuration des territoires</w:t>
      </w:r>
    </w:p>
    <w:p w14:paraId="77A826E4" w14:textId="56C32384" w:rsidR="001311C8" w:rsidRPr="001311C8" w:rsidRDefault="001311C8" w:rsidP="004178EC">
      <w:pPr>
        <w:spacing w:after="0" w:line="240" w:lineRule="auto"/>
        <w:jc w:val="both"/>
        <w:rPr>
          <w:rFonts w:ascii="Arial" w:hAnsi="Arial" w:cs="Arial"/>
          <w:sz w:val="16"/>
          <w:szCs w:val="16"/>
        </w:rPr>
      </w:pPr>
    </w:p>
    <w:p w14:paraId="08E8F2E4" w14:textId="69B7F435" w:rsidR="001311C8" w:rsidRPr="001311C8" w:rsidRDefault="001311C8" w:rsidP="004178EC">
      <w:pPr>
        <w:pStyle w:val="Paragraphedeliste"/>
        <w:numPr>
          <w:ilvl w:val="0"/>
          <w:numId w:val="16"/>
        </w:numPr>
        <w:tabs>
          <w:tab w:val="center" w:pos="284"/>
        </w:tabs>
        <w:spacing w:after="0" w:line="240" w:lineRule="auto"/>
        <w:ind w:left="284" w:hanging="218"/>
        <w:jc w:val="both"/>
        <w:rPr>
          <w:rFonts w:ascii="Arial" w:hAnsi="Arial" w:cs="Arial"/>
          <w:b/>
          <w:bCs/>
          <w:color w:val="ED7D31" w:themeColor="accent2"/>
        </w:rPr>
      </w:pPr>
      <w:r w:rsidRPr="001311C8">
        <w:rPr>
          <w:rFonts w:ascii="Arial" w:hAnsi="Arial" w:cs="Arial"/>
          <w:b/>
          <w:bCs/>
          <w:color w:val="ED7D31" w:themeColor="accent2"/>
        </w:rPr>
        <w:t>Axe 6 : Appuyer les démarches innovantes</w:t>
      </w:r>
    </w:p>
    <w:p w14:paraId="6BBAC441" w14:textId="755D277B" w:rsidR="001311C8" w:rsidRPr="001311C8" w:rsidRDefault="001311C8" w:rsidP="004178EC">
      <w:pPr>
        <w:pStyle w:val="Paragraphedeliste"/>
        <w:numPr>
          <w:ilvl w:val="0"/>
          <w:numId w:val="17"/>
        </w:numPr>
        <w:spacing w:after="0" w:line="240" w:lineRule="auto"/>
        <w:jc w:val="both"/>
        <w:rPr>
          <w:rFonts w:ascii="Arial" w:hAnsi="Arial" w:cs="Arial"/>
        </w:rPr>
      </w:pPr>
      <w:r w:rsidRPr="001311C8">
        <w:rPr>
          <w:rFonts w:ascii="Arial" w:hAnsi="Arial" w:cs="Arial"/>
          <w:b/>
          <w:bCs/>
          <w:color w:val="4472C4" w:themeColor="accent1"/>
        </w:rPr>
        <w:t>Volet 3 </w:t>
      </w:r>
      <w:r w:rsidRPr="001311C8">
        <w:rPr>
          <w:rFonts w:ascii="Arial" w:hAnsi="Arial" w:cs="Arial"/>
        </w:rPr>
        <w:t>:</w:t>
      </w:r>
      <w:r w:rsidR="000C24AE" w:rsidRPr="004178EC">
        <w:rPr>
          <w:rFonts w:ascii="Arial" w:hAnsi="Arial" w:cs="Arial"/>
        </w:rPr>
        <w:t xml:space="preserve"> </w:t>
      </w:r>
      <w:r w:rsidRPr="001311C8">
        <w:rPr>
          <w:rFonts w:ascii="Arial" w:hAnsi="Arial" w:cs="Arial"/>
        </w:rPr>
        <w:t>Autres actions innovantes, faisant intervenir la participation des usagers / des publics dans le processus d’'élaboration</w:t>
      </w:r>
    </w:p>
    <w:p w14:paraId="06B51206" w14:textId="1736617D" w:rsidR="001311C8" w:rsidRPr="001311C8" w:rsidRDefault="001311C8" w:rsidP="004178EC">
      <w:pPr>
        <w:spacing w:after="0" w:line="240" w:lineRule="auto"/>
        <w:jc w:val="both"/>
        <w:rPr>
          <w:rFonts w:ascii="Arial" w:hAnsi="Arial" w:cs="Arial"/>
          <w:sz w:val="16"/>
          <w:szCs w:val="16"/>
        </w:rPr>
      </w:pPr>
    </w:p>
    <w:p w14:paraId="6B812A3F" w14:textId="64BD189B" w:rsidR="001311C8" w:rsidRPr="001311C8" w:rsidRDefault="001311C8" w:rsidP="004178EC">
      <w:pPr>
        <w:pStyle w:val="Paragraphedeliste"/>
        <w:numPr>
          <w:ilvl w:val="0"/>
          <w:numId w:val="16"/>
        </w:numPr>
        <w:tabs>
          <w:tab w:val="center" w:pos="284"/>
        </w:tabs>
        <w:spacing w:after="0" w:line="240" w:lineRule="auto"/>
        <w:ind w:left="284" w:hanging="218"/>
        <w:jc w:val="both"/>
        <w:rPr>
          <w:rFonts w:ascii="Arial" w:hAnsi="Arial" w:cs="Arial"/>
          <w:b/>
          <w:bCs/>
          <w:color w:val="ED7D31" w:themeColor="accent2"/>
        </w:rPr>
      </w:pPr>
      <w:r w:rsidRPr="001311C8">
        <w:rPr>
          <w:rFonts w:ascii="Arial" w:hAnsi="Arial" w:cs="Arial"/>
          <w:b/>
          <w:bCs/>
          <w:color w:val="ED7D31" w:themeColor="accent2"/>
        </w:rPr>
        <w:t>Axe 7 : Renforcement de la lutte contre la non-décence des logements et promotion des projets en faveur du logement des familles, des jeunes et du cadre de vie</w:t>
      </w:r>
    </w:p>
    <w:p w14:paraId="553EAA52" w14:textId="26469AEB" w:rsidR="001311C8" w:rsidRPr="001311C8" w:rsidRDefault="001311C8" w:rsidP="004178EC">
      <w:pPr>
        <w:pStyle w:val="Paragraphedeliste"/>
        <w:numPr>
          <w:ilvl w:val="0"/>
          <w:numId w:val="17"/>
        </w:numPr>
        <w:spacing w:after="0" w:line="240" w:lineRule="auto"/>
        <w:jc w:val="both"/>
        <w:rPr>
          <w:rFonts w:ascii="Arial" w:hAnsi="Arial" w:cs="Arial"/>
        </w:rPr>
      </w:pPr>
      <w:r w:rsidRPr="001311C8">
        <w:rPr>
          <w:rFonts w:ascii="Arial" w:hAnsi="Arial" w:cs="Arial"/>
          <w:b/>
          <w:bCs/>
          <w:color w:val="4472C4" w:themeColor="accent1"/>
        </w:rPr>
        <w:t>Volet 2 :</w:t>
      </w:r>
      <w:r w:rsidR="000C24AE" w:rsidRPr="004178EC">
        <w:rPr>
          <w:rFonts w:ascii="Arial" w:hAnsi="Arial" w:cs="Arial"/>
        </w:rPr>
        <w:t xml:space="preserve"> </w:t>
      </w:r>
      <w:r w:rsidRPr="001311C8">
        <w:rPr>
          <w:rFonts w:ascii="Arial" w:hAnsi="Arial" w:cs="Arial"/>
        </w:rPr>
        <w:t>Contribuer à la promotion et à l’émergence de nouvelles formes de logement en faveur des jeunes adultes et des familles</w:t>
      </w:r>
    </w:p>
    <w:p w14:paraId="2F187879" w14:textId="77777777" w:rsidR="000C24AE" w:rsidRPr="00107711" w:rsidRDefault="001311C8" w:rsidP="00107711">
      <w:pPr>
        <w:pBdr>
          <w:bottom w:val="single" w:sz="4" w:space="1" w:color="4472C4" w:themeColor="accent1"/>
        </w:pBdr>
        <w:spacing w:after="0" w:line="240" w:lineRule="auto"/>
        <w:jc w:val="both"/>
        <w:rPr>
          <w:rFonts w:ascii="Arial" w:hAnsi="Arial" w:cs="Arial"/>
          <w:b/>
          <w:bCs/>
          <w:color w:val="ED7D31" w:themeColor="accent2"/>
        </w:rPr>
      </w:pPr>
      <w:r w:rsidRPr="001311C8">
        <w:rPr>
          <w:rFonts w:ascii="Arial" w:hAnsi="Arial" w:cs="Arial"/>
          <w:b/>
          <w:bCs/>
          <w:color w:val="ED7D31" w:themeColor="accent2"/>
        </w:rPr>
        <w:lastRenderedPageBreak/>
        <w:t>MODALITES ET ECHEANCES</w:t>
      </w:r>
    </w:p>
    <w:p w14:paraId="7CA4BBBC" w14:textId="77777777" w:rsidR="00107711" w:rsidRDefault="00107711" w:rsidP="004178EC">
      <w:pPr>
        <w:spacing w:after="0" w:line="240" w:lineRule="auto"/>
        <w:jc w:val="both"/>
        <w:rPr>
          <w:rFonts w:ascii="Arial" w:hAnsi="Arial" w:cs="Arial"/>
        </w:rPr>
      </w:pPr>
    </w:p>
    <w:p w14:paraId="76C92C6E" w14:textId="5FA96AB0" w:rsidR="00687305" w:rsidRDefault="00687305" w:rsidP="004178EC">
      <w:pPr>
        <w:spacing w:after="0" w:line="240" w:lineRule="auto"/>
        <w:jc w:val="both"/>
        <w:rPr>
          <w:rFonts w:ascii="Arial" w:hAnsi="Arial" w:cs="Arial"/>
        </w:rPr>
      </w:pPr>
      <w:r>
        <w:rPr>
          <w:rFonts w:ascii="Arial" w:hAnsi="Arial" w:cs="Arial"/>
        </w:rPr>
        <w:t xml:space="preserve">Les projets doivent être conformes aux exigences stipulées dans le « guide des subventions Caf &amp; </w:t>
      </w:r>
      <w:proofErr w:type="spellStart"/>
      <w:r>
        <w:rPr>
          <w:rFonts w:ascii="Arial" w:hAnsi="Arial" w:cs="Arial"/>
        </w:rPr>
        <w:t>Msa</w:t>
      </w:r>
      <w:proofErr w:type="spellEnd"/>
      <w:r>
        <w:rPr>
          <w:rFonts w:ascii="Arial" w:hAnsi="Arial" w:cs="Arial"/>
        </w:rPr>
        <w:t> » joint à cet appel.</w:t>
      </w:r>
    </w:p>
    <w:p w14:paraId="708CED01" w14:textId="77777777" w:rsidR="00687305" w:rsidRDefault="00687305" w:rsidP="004178EC">
      <w:pPr>
        <w:spacing w:after="0" w:line="240" w:lineRule="auto"/>
        <w:jc w:val="both"/>
        <w:rPr>
          <w:rFonts w:ascii="Arial" w:hAnsi="Arial" w:cs="Arial"/>
        </w:rPr>
      </w:pPr>
    </w:p>
    <w:p w14:paraId="21EFC59C" w14:textId="1EBA6A4E" w:rsidR="000C24AE" w:rsidRPr="004178EC" w:rsidRDefault="000C24AE" w:rsidP="004178EC">
      <w:pPr>
        <w:spacing w:after="0" w:line="240" w:lineRule="auto"/>
        <w:jc w:val="both"/>
        <w:rPr>
          <w:rFonts w:ascii="Arial" w:hAnsi="Arial" w:cs="Arial"/>
        </w:rPr>
      </w:pPr>
      <w:r w:rsidRPr="004178EC">
        <w:rPr>
          <w:rFonts w:ascii="Arial" w:hAnsi="Arial" w:cs="Arial"/>
        </w:rPr>
        <w:t>Les demandes sont à rédiger obligatoirement sur les formulaires 2026, joints à l’appel à projet ou qui se trouvent sur le site Caf.fr Cantal, rubrique « partenaires locaux ».</w:t>
      </w:r>
    </w:p>
    <w:p w14:paraId="45595390" w14:textId="77777777" w:rsidR="000C24AE" w:rsidRPr="004178EC" w:rsidRDefault="000C24AE" w:rsidP="004178EC">
      <w:pPr>
        <w:spacing w:after="0" w:line="240" w:lineRule="auto"/>
        <w:jc w:val="both"/>
        <w:rPr>
          <w:rFonts w:ascii="Arial" w:hAnsi="Arial" w:cs="Arial"/>
        </w:rPr>
      </w:pPr>
    </w:p>
    <w:p w14:paraId="6609C290" w14:textId="4B589C26" w:rsidR="000C24AE" w:rsidRPr="004178EC" w:rsidRDefault="000C24AE" w:rsidP="004178EC">
      <w:pPr>
        <w:spacing w:after="0" w:line="240" w:lineRule="auto"/>
        <w:jc w:val="both"/>
        <w:rPr>
          <w:rFonts w:ascii="Arial" w:hAnsi="Arial" w:cs="Arial"/>
        </w:rPr>
      </w:pPr>
      <w:r w:rsidRPr="004178EC">
        <w:rPr>
          <w:rFonts w:ascii="Arial" w:hAnsi="Arial" w:cs="Arial"/>
        </w:rPr>
        <w:t xml:space="preserve">Si l’action se déroule en milieu rural, vous pouvez également demander un financement à la </w:t>
      </w:r>
      <w:proofErr w:type="spellStart"/>
      <w:r w:rsidRPr="004178EC">
        <w:rPr>
          <w:rFonts w:ascii="Arial" w:hAnsi="Arial" w:cs="Arial"/>
        </w:rPr>
        <w:t>Msa</w:t>
      </w:r>
      <w:proofErr w:type="spellEnd"/>
      <w:r w:rsidRPr="004178EC">
        <w:rPr>
          <w:rFonts w:ascii="Arial" w:hAnsi="Arial" w:cs="Arial"/>
        </w:rPr>
        <w:t xml:space="preserve"> Auvergne.</w:t>
      </w:r>
    </w:p>
    <w:p w14:paraId="2C19C5E5" w14:textId="77777777" w:rsidR="000C24AE" w:rsidRPr="004178EC" w:rsidRDefault="000C24AE" w:rsidP="004178EC">
      <w:pPr>
        <w:spacing w:after="0" w:line="240" w:lineRule="auto"/>
        <w:jc w:val="both"/>
        <w:rPr>
          <w:rFonts w:ascii="Arial" w:hAnsi="Arial" w:cs="Arial"/>
        </w:rPr>
      </w:pPr>
    </w:p>
    <w:p w14:paraId="1FED2BAF" w14:textId="77777777" w:rsidR="000C24AE" w:rsidRPr="008C6DD5" w:rsidRDefault="000C24AE" w:rsidP="008C6DD5">
      <w:pPr>
        <w:jc w:val="both"/>
        <w:rPr>
          <w:rFonts w:ascii="Arial" w:hAnsi="Arial" w:cs="Arial"/>
        </w:rPr>
      </w:pPr>
      <w:r w:rsidRPr="008C6DD5">
        <w:rPr>
          <w:rFonts w:ascii="Arial" w:hAnsi="Arial" w:cs="Arial"/>
        </w:rPr>
        <w:t>Les dossiers doivent être envoyés, au format PDF, signés par la personne habilitée. Une version Word (ou traitement de texte) sera jointe à l’envoi afin de faciliter le traitement du dossier par le service instructeur.</w:t>
      </w:r>
    </w:p>
    <w:p w14:paraId="68B1A320" w14:textId="77777777" w:rsidR="000C24AE" w:rsidRPr="008C6DD5" w:rsidRDefault="000C24AE" w:rsidP="008C6DD5">
      <w:pPr>
        <w:jc w:val="both"/>
        <w:rPr>
          <w:rFonts w:ascii="Arial" w:hAnsi="Arial" w:cs="Arial"/>
        </w:rPr>
      </w:pPr>
      <w:r w:rsidRPr="008C6DD5">
        <w:rPr>
          <w:rFonts w:ascii="Arial" w:hAnsi="Arial" w:cs="Arial"/>
        </w:rPr>
        <w:t xml:space="preserve">Toute demande doit être envoyée aux adresses </w:t>
      </w:r>
      <w:proofErr w:type="gramStart"/>
      <w:r w:rsidRPr="008C6DD5">
        <w:rPr>
          <w:rFonts w:ascii="Arial" w:hAnsi="Arial" w:cs="Arial"/>
        </w:rPr>
        <w:t>mail</w:t>
      </w:r>
      <w:proofErr w:type="gramEnd"/>
      <w:r w:rsidRPr="008C6DD5">
        <w:rPr>
          <w:rFonts w:ascii="Arial" w:hAnsi="Arial" w:cs="Arial"/>
        </w:rPr>
        <w:t xml:space="preserve"> suivantes : </w:t>
      </w:r>
    </w:p>
    <w:p w14:paraId="01CBF891" w14:textId="77777777" w:rsidR="000C24AE" w:rsidRPr="008C6DD5" w:rsidRDefault="000C24AE" w:rsidP="008C6DD5">
      <w:pPr>
        <w:pStyle w:val="Paragraphedeliste"/>
        <w:numPr>
          <w:ilvl w:val="0"/>
          <w:numId w:val="12"/>
        </w:numPr>
        <w:ind w:left="567"/>
        <w:jc w:val="both"/>
        <w:rPr>
          <w:rFonts w:ascii="Arial" w:hAnsi="Arial" w:cs="Arial"/>
        </w:rPr>
      </w:pPr>
      <w:hyperlink r:id="rId8" w:history="1">
        <w:r w:rsidRPr="008C6DD5">
          <w:rPr>
            <w:rStyle w:val="Lienhypertexte"/>
            <w:rFonts w:ascii="Arial" w:hAnsi="Arial" w:cs="Arial"/>
          </w:rPr>
          <w:t>afc@caf15.caf.fr</w:t>
        </w:r>
      </w:hyperlink>
      <w:r w:rsidRPr="008C6DD5">
        <w:rPr>
          <w:rFonts w:ascii="Arial" w:hAnsi="Arial" w:cs="Arial"/>
        </w:rPr>
        <w:t xml:space="preserve"> pour la Caf</w:t>
      </w:r>
    </w:p>
    <w:p w14:paraId="090B8269" w14:textId="77777777" w:rsidR="000C24AE" w:rsidRPr="008C6DD5" w:rsidRDefault="000C24AE" w:rsidP="008C6DD5">
      <w:pPr>
        <w:pStyle w:val="Paragraphedeliste"/>
        <w:numPr>
          <w:ilvl w:val="0"/>
          <w:numId w:val="12"/>
        </w:numPr>
        <w:ind w:left="567"/>
        <w:jc w:val="both"/>
        <w:rPr>
          <w:rFonts w:ascii="Arial" w:hAnsi="Arial" w:cs="Arial"/>
        </w:rPr>
      </w:pPr>
      <w:hyperlink r:id="rId9" w:history="1">
        <w:r w:rsidRPr="008C6DD5">
          <w:rPr>
            <w:rStyle w:val="Lienhypertexte"/>
            <w:rFonts w:ascii="Arial" w:hAnsi="Arial" w:cs="Arial"/>
          </w:rPr>
          <w:t>lebert.muriel@auvergne.msa.fr</w:t>
        </w:r>
      </w:hyperlink>
      <w:r w:rsidRPr="008C6DD5">
        <w:rPr>
          <w:rFonts w:ascii="Arial" w:hAnsi="Arial" w:cs="Arial"/>
        </w:rPr>
        <w:t xml:space="preserve"> (</w:t>
      </w:r>
      <w:r w:rsidRPr="008C6DD5">
        <w:rPr>
          <w:rFonts w:ascii="Arial" w:hAnsi="Arial" w:cs="Arial"/>
          <w:b/>
          <w:bCs/>
          <w:u w:val="single"/>
        </w:rPr>
        <w:t>et copie à</w:t>
      </w:r>
      <w:r w:rsidRPr="008C6DD5">
        <w:rPr>
          <w:rFonts w:ascii="Arial" w:hAnsi="Arial" w:cs="Arial"/>
        </w:rPr>
        <w:t xml:space="preserve"> </w:t>
      </w:r>
      <w:hyperlink r:id="rId10" w:history="1">
        <w:r w:rsidRPr="008C6DD5">
          <w:rPr>
            <w:rStyle w:val="Lienhypertexte"/>
            <w:rFonts w:ascii="Arial" w:hAnsi="Arial" w:cs="Arial"/>
          </w:rPr>
          <w:t>partenariatmsa.blf@auvergne.msa.fr</w:t>
        </w:r>
      </w:hyperlink>
      <w:r w:rsidRPr="008C6DD5">
        <w:rPr>
          <w:rFonts w:ascii="Arial" w:hAnsi="Arial" w:cs="Arial"/>
        </w:rPr>
        <w:t xml:space="preserve">) pour la </w:t>
      </w:r>
      <w:proofErr w:type="spellStart"/>
      <w:r w:rsidRPr="008C6DD5">
        <w:rPr>
          <w:rFonts w:ascii="Arial" w:hAnsi="Arial" w:cs="Arial"/>
        </w:rPr>
        <w:t>Msa</w:t>
      </w:r>
      <w:proofErr w:type="spellEnd"/>
    </w:p>
    <w:p w14:paraId="19969E50" w14:textId="77777777" w:rsidR="000C24AE" w:rsidRPr="008C6DD5" w:rsidRDefault="000C24AE" w:rsidP="008C6DD5">
      <w:pPr>
        <w:jc w:val="both"/>
        <w:rPr>
          <w:rFonts w:ascii="Arial" w:hAnsi="Arial" w:cs="Arial"/>
        </w:rPr>
      </w:pPr>
      <w:r w:rsidRPr="008C6DD5">
        <w:rPr>
          <w:rFonts w:ascii="Arial" w:hAnsi="Arial" w:cs="Arial"/>
        </w:rPr>
        <w:t xml:space="preserve">Le dossier de demande de subvention doit être adressé </w:t>
      </w:r>
      <w:r w:rsidRPr="008C6DD5">
        <w:rPr>
          <w:rFonts w:ascii="Arial" w:hAnsi="Arial" w:cs="Arial"/>
          <w:b/>
          <w:bCs/>
          <w:u w:val="single"/>
        </w:rPr>
        <w:t>complet</w:t>
      </w:r>
      <w:r w:rsidRPr="008C6DD5">
        <w:rPr>
          <w:rFonts w:ascii="Arial" w:hAnsi="Arial" w:cs="Arial"/>
        </w:rPr>
        <w:t>, avec l’ensemble des pièces justificatives demandées, avant la date limite de réception</w:t>
      </w:r>
    </w:p>
    <w:p w14:paraId="424414F5" w14:textId="77777777" w:rsidR="000C24AE" w:rsidRPr="008C6DD5" w:rsidRDefault="000C24AE" w:rsidP="008C6DD5">
      <w:pPr>
        <w:jc w:val="both"/>
        <w:rPr>
          <w:rFonts w:ascii="Arial" w:hAnsi="Arial" w:cs="Arial"/>
        </w:rPr>
      </w:pPr>
      <w:r w:rsidRPr="008C6DD5">
        <w:rPr>
          <w:rFonts w:ascii="Arial" w:hAnsi="Arial" w:cs="Arial"/>
        </w:rPr>
        <w:t>Un comité de recevabilité est instauré quelques jours après la date limite de réception. Ce comité valide :</w:t>
      </w:r>
    </w:p>
    <w:p w14:paraId="48E4C48C" w14:textId="77777777" w:rsidR="000C24AE" w:rsidRPr="008C6DD5" w:rsidRDefault="000C24AE" w:rsidP="006C7FC4">
      <w:pPr>
        <w:pStyle w:val="Paragraphedeliste"/>
        <w:numPr>
          <w:ilvl w:val="0"/>
          <w:numId w:val="13"/>
        </w:numPr>
        <w:spacing w:after="0" w:line="240" w:lineRule="auto"/>
        <w:jc w:val="both"/>
        <w:rPr>
          <w:rFonts w:ascii="Arial" w:hAnsi="Arial" w:cs="Arial"/>
        </w:rPr>
      </w:pPr>
      <w:r w:rsidRPr="008C6DD5">
        <w:rPr>
          <w:rFonts w:ascii="Arial" w:hAnsi="Arial" w:cs="Arial"/>
        </w:rPr>
        <w:t xml:space="preserve">La conformité de la demande avec la politique famille de la Caf et la </w:t>
      </w:r>
      <w:proofErr w:type="spellStart"/>
      <w:r w:rsidRPr="008C6DD5">
        <w:rPr>
          <w:rFonts w:ascii="Arial" w:hAnsi="Arial" w:cs="Arial"/>
        </w:rPr>
        <w:t>Msa</w:t>
      </w:r>
      <w:proofErr w:type="spellEnd"/>
    </w:p>
    <w:p w14:paraId="0B55003C" w14:textId="77777777" w:rsidR="000C24AE" w:rsidRPr="008C6DD5" w:rsidRDefault="000C24AE" w:rsidP="006C7FC4">
      <w:pPr>
        <w:pStyle w:val="Paragraphedeliste"/>
        <w:numPr>
          <w:ilvl w:val="0"/>
          <w:numId w:val="13"/>
        </w:numPr>
        <w:spacing w:after="0" w:line="240" w:lineRule="auto"/>
        <w:jc w:val="both"/>
        <w:rPr>
          <w:rFonts w:ascii="Arial" w:hAnsi="Arial" w:cs="Arial"/>
        </w:rPr>
      </w:pPr>
      <w:r w:rsidRPr="008C6DD5">
        <w:rPr>
          <w:rFonts w:ascii="Arial" w:hAnsi="Arial" w:cs="Arial"/>
        </w:rPr>
        <w:t>La conformité de la demande avec les modalités du présent guide</w:t>
      </w:r>
    </w:p>
    <w:p w14:paraId="56F6BB50" w14:textId="77777777" w:rsidR="000C24AE" w:rsidRPr="008C6DD5" w:rsidRDefault="000C24AE" w:rsidP="006C7FC4">
      <w:pPr>
        <w:pStyle w:val="Paragraphedeliste"/>
        <w:numPr>
          <w:ilvl w:val="0"/>
          <w:numId w:val="13"/>
        </w:numPr>
        <w:spacing w:after="0" w:line="240" w:lineRule="auto"/>
        <w:jc w:val="both"/>
        <w:rPr>
          <w:rFonts w:ascii="Arial" w:hAnsi="Arial" w:cs="Arial"/>
        </w:rPr>
      </w:pPr>
      <w:r w:rsidRPr="008C6DD5">
        <w:rPr>
          <w:rFonts w:ascii="Arial" w:hAnsi="Arial" w:cs="Arial"/>
        </w:rPr>
        <w:t>La présence de l’ensemble des pièces justificatives demandées</w:t>
      </w:r>
    </w:p>
    <w:p w14:paraId="527CCAC5" w14:textId="77777777" w:rsidR="000C24AE" w:rsidRPr="008C6DD5" w:rsidRDefault="000C24AE" w:rsidP="006C7FC4">
      <w:pPr>
        <w:pStyle w:val="Paragraphedeliste"/>
        <w:numPr>
          <w:ilvl w:val="0"/>
          <w:numId w:val="13"/>
        </w:numPr>
        <w:spacing w:after="0" w:line="240" w:lineRule="auto"/>
        <w:jc w:val="both"/>
        <w:rPr>
          <w:rFonts w:ascii="Arial" w:hAnsi="Arial" w:cs="Arial"/>
        </w:rPr>
      </w:pPr>
      <w:r w:rsidRPr="008C6DD5">
        <w:rPr>
          <w:rFonts w:ascii="Arial" w:hAnsi="Arial" w:cs="Arial"/>
        </w:rPr>
        <w:t>La lisibilité et la compréhension de la demande</w:t>
      </w:r>
    </w:p>
    <w:p w14:paraId="187BD830" w14:textId="77777777" w:rsidR="000C24AE" w:rsidRPr="008C6DD5" w:rsidRDefault="000C24AE" w:rsidP="006C7FC4">
      <w:pPr>
        <w:spacing w:after="0" w:line="240" w:lineRule="auto"/>
        <w:jc w:val="both"/>
        <w:rPr>
          <w:rFonts w:ascii="Arial" w:hAnsi="Arial" w:cs="Arial"/>
        </w:rPr>
      </w:pPr>
    </w:p>
    <w:p w14:paraId="62215D23" w14:textId="77777777" w:rsidR="000C24AE" w:rsidRPr="008C6DD5" w:rsidRDefault="000C24AE" w:rsidP="006C7FC4">
      <w:pPr>
        <w:pStyle w:val="Paragraphedeliste"/>
        <w:numPr>
          <w:ilvl w:val="0"/>
          <w:numId w:val="14"/>
        </w:numPr>
        <w:spacing w:after="0" w:line="240" w:lineRule="auto"/>
        <w:jc w:val="both"/>
        <w:rPr>
          <w:rFonts w:ascii="Arial" w:hAnsi="Arial" w:cs="Arial"/>
        </w:rPr>
      </w:pPr>
      <w:r w:rsidRPr="008C6DD5">
        <w:rPr>
          <w:rFonts w:ascii="Arial" w:hAnsi="Arial" w:cs="Arial"/>
        </w:rPr>
        <w:t>En cas de non-conformité, le dossier est rejeté et une notification est envoyée au porteur.</w:t>
      </w:r>
    </w:p>
    <w:p w14:paraId="34FEEE4B" w14:textId="77777777" w:rsidR="000C24AE" w:rsidRPr="008C6DD5" w:rsidRDefault="000C24AE" w:rsidP="006C7FC4">
      <w:pPr>
        <w:pStyle w:val="Paragraphedeliste"/>
        <w:numPr>
          <w:ilvl w:val="0"/>
          <w:numId w:val="14"/>
        </w:numPr>
        <w:spacing w:after="0" w:line="240" w:lineRule="auto"/>
        <w:jc w:val="both"/>
        <w:rPr>
          <w:rFonts w:ascii="Arial" w:hAnsi="Arial" w:cs="Arial"/>
        </w:rPr>
      </w:pPr>
      <w:r w:rsidRPr="008C6DD5">
        <w:rPr>
          <w:rFonts w:ascii="Arial" w:hAnsi="Arial" w:cs="Arial"/>
        </w:rPr>
        <w:t>Si le dossier est conforme, il est présenté aux instances.</w:t>
      </w:r>
    </w:p>
    <w:p w14:paraId="7B0E2995" w14:textId="64CBB911" w:rsidR="000C24AE" w:rsidRPr="008C6DD5" w:rsidRDefault="000C24AE" w:rsidP="006C7FC4">
      <w:pPr>
        <w:spacing w:after="0" w:line="240" w:lineRule="auto"/>
        <w:jc w:val="both"/>
        <w:rPr>
          <w:rFonts w:ascii="Arial" w:eastAsia="Times New Roman" w:hAnsi="Arial" w:cs="Arial"/>
          <w:color w:val="212529"/>
          <w:kern w:val="0"/>
          <w:lang w:eastAsia="fr-FR"/>
          <w14:ligatures w14:val="none"/>
        </w:rPr>
      </w:pPr>
      <w:r w:rsidRPr="008C6DD5">
        <w:rPr>
          <w:rFonts w:ascii="Arial" w:hAnsi="Arial" w:cs="Arial"/>
        </w:rPr>
        <w:t>Une notification d’accord ou de refus par l’instance est envoyée au porteur environ un mois après la date de l’instance.</w:t>
      </w:r>
    </w:p>
    <w:p w14:paraId="1BDB2A92" w14:textId="77777777" w:rsidR="000C24AE" w:rsidRPr="001311C8" w:rsidRDefault="000C24AE" w:rsidP="006C7FC4">
      <w:pPr>
        <w:shd w:val="clear" w:color="auto" w:fill="FFFFFF"/>
        <w:spacing w:after="0" w:line="240" w:lineRule="auto"/>
        <w:jc w:val="both"/>
        <w:rPr>
          <w:rFonts w:ascii="Arial" w:eastAsia="Times New Roman" w:hAnsi="Arial" w:cs="Arial"/>
          <w:color w:val="212529"/>
          <w:kern w:val="0"/>
          <w:lang w:eastAsia="fr-FR"/>
          <w14:ligatures w14:val="none"/>
        </w:rPr>
      </w:pPr>
    </w:p>
    <w:p w14:paraId="21156994" w14:textId="77777777" w:rsidR="000C24AE" w:rsidRPr="008C6DD5" w:rsidRDefault="000C24AE" w:rsidP="006C7FC4">
      <w:pPr>
        <w:shd w:val="clear" w:color="auto" w:fill="FFFFFF"/>
        <w:spacing w:after="0" w:line="240" w:lineRule="auto"/>
        <w:jc w:val="both"/>
        <w:rPr>
          <w:rFonts w:ascii="Arial" w:eastAsia="Times New Roman" w:hAnsi="Arial" w:cs="Arial"/>
          <w:b/>
          <w:bCs/>
          <w:color w:val="2A2F30"/>
          <w:kern w:val="0"/>
          <w:lang w:eastAsia="fr-FR"/>
          <w14:ligatures w14:val="none"/>
        </w:rPr>
      </w:pPr>
      <w:r w:rsidRPr="001311C8">
        <w:rPr>
          <w:rFonts w:ascii="Arial" w:eastAsia="Times New Roman" w:hAnsi="Arial" w:cs="Arial"/>
          <w:b/>
          <w:bCs/>
          <w:color w:val="2A2F30"/>
          <w:kern w:val="0"/>
          <w:lang w:eastAsia="fr-FR"/>
          <w14:ligatures w14:val="none"/>
        </w:rPr>
        <w:t>Pour l’investissement :</w:t>
      </w:r>
    </w:p>
    <w:p w14:paraId="67C3F823" w14:textId="77777777" w:rsidR="00D93A26" w:rsidRDefault="00D93A26" w:rsidP="006C7FC4">
      <w:pPr>
        <w:shd w:val="clear" w:color="auto" w:fill="FFFFFF"/>
        <w:spacing w:after="0" w:line="240" w:lineRule="auto"/>
        <w:jc w:val="both"/>
        <w:rPr>
          <w:rFonts w:ascii="Arial" w:eastAsia="Times New Roman" w:hAnsi="Arial" w:cs="Arial"/>
          <w:color w:val="2A2F30"/>
          <w:kern w:val="0"/>
          <w:lang w:eastAsia="fr-FR"/>
          <w14:ligatures w14:val="none"/>
        </w:rPr>
      </w:pPr>
    </w:p>
    <w:p w14:paraId="50EF7599" w14:textId="09EA859F" w:rsidR="00D93A26" w:rsidRDefault="00D93A26" w:rsidP="008C6DD5">
      <w:pPr>
        <w:shd w:val="clear" w:color="auto" w:fill="FFFFFF"/>
        <w:spacing w:after="0" w:line="240" w:lineRule="auto"/>
        <w:jc w:val="both"/>
        <w:rPr>
          <w:rFonts w:ascii="Arial" w:eastAsia="Times New Roman" w:hAnsi="Arial" w:cs="Arial"/>
          <w:color w:val="2A2F30"/>
          <w:kern w:val="0"/>
          <w:lang w:eastAsia="fr-FR"/>
          <w14:ligatures w14:val="none"/>
        </w:rPr>
      </w:pPr>
      <w:r>
        <w:rPr>
          <w:rFonts w:ascii="Arial" w:eastAsia="Times New Roman" w:hAnsi="Arial" w:cs="Arial"/>
          <w:color w:val="2A2F30"/>
          <w:kern w:val="0"/>
          <w:lang w:eastAsia="fr-FR"/>
          <w14:ligatures w14:val="none"/>
        </w:rPr>
        <w:t>Seuls sont subventionnables les investissements pouvant faire l’objet d’un amortissement comptable. Ainsi, les consommables (feuilles, crayons, encre, gommes etc…) ne peuvent faire l’objet d’une subvention que s’ils sont attachés à un investissement subventionnable.</w:t>
      </w:r>
    </w:p>
    <w:p w14:paraId="24121C59" w14:textId="77777777" w:rsidR="00D93A26" w:rsidRDefault="00D93A26" w:rsidP="008C6DD5">
      <w:pPr>
        <w:shd w:val="clear" w:color="auto" w:fill="FFFFFF"/>
        <w:spacing w:after="0" w:line="240" w:lineRule="auto"/>
        <w:jc w:val="both"/>
        <w:rPr>
          <w:rFonts w:ascii="Arial" w:eastAsia="Times New Roman" w:hAnsi="Arial" w:cs="Arial"/>
          <w:color w:val="2A2F30"/>
          <w:kern w:val="0"/>
          <w:lang w:eastAsia="fr-FR"/>
          <w14:ligatures w14:val="none"/>
        </w:rPr>
      </w:pPr>
    </w:p>
    <w:p w14:paraId="69A0EC6A" w14:textId="4A451056" w:rsidR="00D93A26" w:rsidRDefault="00D93A26" w:rsidP="00D93A26">
      <w:pPr>
        <w:shd w:val="clear" w:color="auto" w:fill="FFFFFF"/>
        <w:spacing w:after="0" w:line="240" w:lineRule="auto"/>
        <w:jc w:val="both"/>
        <w:rPr>
          <w:rFonts w:ascii="Arial" w:eastAsia="Times New Roman" w:hAnsi="Arial" w:cs="Arial"/>
          <w:color w:val="2A2F30"/>
          <w:kern w:val="0"/>
          <w:lang w:eastAsia="fr-FR"/>
          <w14:ligatures w14:val="none"/>
        </w:rPr>
      </w:pPr>
      <w:r>
        <w:rPr>
          <w:rFonts w:ascii="Arial" w:eastAsia="Times New Roman" w:hAnsi="Arial" w:cs="Arial"/>
          <w:color w:val="2A2F30"/>
          <w:kern w:val="0"/>
          <w:lang w:eastAsia="fr-FR"/>
          <w14:ligatures w14:val="none"/>
        </w:rPr>
        <w:t xml:space="preserve">La Caf sera sensible à la prise en compte de critères de développement durable dans les achats, et, conformément aux déclarations de </w:t>
      </w:r>
      <w:proofErr w:type="spellStart"/>
      <w:r>
        <w:rPr>
          <w:rFonts w:ascii="Arial" w:eastAsia="Times New Roman" w:hAnsi="Arial" w:cs="Arial"/>
          <w:color w:val="2A2F30"/>
          <w:kern w:val="0"/>
          <w:lang w:eastAsia="fr-FR"/>
          <w14:ligatures w14:val="none"/>
        </w:rPr>
        <w:t>la</w:t>
      </w:r>
      <w:proofErr w:type="spellEnd"/>
      <w:r>
        <w:rPr>
          <w:rFonts w:ascii="Arial" w:eastAsia="Times New Roman" w:hAnsi="Arial" w:cs="Arial"/>
          <w:color w:val="2A2F30"/>
          <w:kern w:val="0"/>
          <w:lang w:eastAsia="fr-FR"/>
          <w14:ligatures w14:val="none"/>
        </w:rPr>
        <w:t xml:space="preserve"> Commission Européenne en 2025, enjoint ses partenaires à donner une préférence européenne à ces derniers.</w:t>
      </w:r>
    </w:p>
    <w:p w14:paraId="01CC1874" w14:textId="77777777" w:rsidR="00D93A26" w:rsidRDefault="00D93A26" w:rsidP="00D93A26">
      <w:pPr>
        <w:shd w:val="clear" w:color="auto" w:fill="FFFFFF"/>
        <w:spacing w:after="0" w:line="240" w:lineRule="auto"/>
        <w:jc w:val="both"/>
        <w:rPr>
          <w:rFonts w:ascii="Arial" w:eastAsia="Times New Roman" w:hAnsi="Arial" w:cs="Arial"/>
          <w:color w:val="2A2F30"/>
          <w:kern w:val="0"/>
          <w:lang w:eastAsia="fr-FR"/>
          <w14:ligatures w14:val="none"/>
        </w:rPr>
      </w:pPr>
    </w:p>
    <w:p w14:paraId="69BFA83C" w14:textId="019ED908" w:rsidR="00D93A26" w:rsidRPr="006C7FC4" w:rsidRDefault="00B338C5" w:rsidP="00D93A26">
      <w:pPr>
        <w:shd w:val="clear" w:color="auto" w:fill="FFFFFF"/>
        <w:spacing w:after="0" w:line="240" w:lineRule="auto"/>
        <w:jc w:val="both"/>
        <w:rPr>
          <w:rFonts w:ascii="Arial" w:eastAsia="Times New Roman" w:hAnsi="Arial" w:cs="Arial"/>
          <w:b/>
          <w:bCs/>
          <w:color w:val="2A2F30"/>
          <w:kern w:val="0"/>
          <w:lang w:eastAsia="fr-FR"/>
          <w14:ligatures w14:val="none"/>
        </w:rPr>
      </w:pPr>
      <w:r w:rsidRPr="006C7FC4">
        <w:rPr>
          <w:rFonts w:ascii="Arial" w:eastAsia="Times New Roman" w:hAnsi="Arial" w:cs="Arial"/>
          <w:b/>
          <w:bCs/>
          <w:color w:val="2A2F30"/>
          <w:kern w:val="0"/>
          <w:lang w:eastAsia="fr-FR"/>
          <w14:ligatures w14:val="none"/>
        </w:rPr>
        <w:t>Pour l’année 2026, une seule demande de subvention d’investissement sera acceptée sur chaque champ d’intervention :</w:t>
      </w:r>
    </w:p>
    <w:p w14:paraId="7375A20C" w14:textId="7F936CC9" w:rsidR="00B338C5" w:rsidRPr="006C7FC4" w:rsidRDefault="00B338C5" w:rsidP="006C7FC4">
      <w:pPr>
        <w:pStyle w:val="Paragraphedeliste"/>
        <w:numPr>
          <w:ilvl w:val="0"/>
          <w:numId w:val="18"/>
        </w:numPr>
        <w:shd w:val="clear" w:color="auto" w:fill="FFFFFF"/>
        <w:spacing w:after="0" w:line="240" w:lineRule="auto"/>
        <w:jc w:val="both"/>
        <w:rPr>
          <w:rFonts w:ascii="Arial" w:eastAsia="Times New Roman" w:hAnsi="Arial" w:cs="Arial"/>
          <w:b/>
          <w:bCs/>
          <w:color w:val="2A2F30"/>
          <w:kern w:val="0"/>
          <w:lang w:eastAsia="fr-FR"/>
          <w14:ligatures w14:val="none"/>
        </w:rPr>
      </w:pPr>
      <w:r w:rsidRPr="006C7FC4">
        <w:rPr>
          <w:rFonts w:ascii="Arial" w:eastAsia="Times New Roman" w:hAnsi="Arial" w:cs="Arial"/>
          <w:b/>
          <w:bCs/>
          <w:color w:val="2A2F30"/>
          <w:kern w:val="0"/>
          <w:lang w:eastAsia="fr-FR"/>
          <w14:ligatures w14:val="none"/>
        </w:rPr>
        <w:t>1 demande sur le champ de la petite enfance</w:t>
      </w:r>
    </w:p>
    <w:p w14:paraId="770BDD7C" w14:textId="061787C6" w:rsidR="00B338C5" w:rsidRPr="006C7FC4" w:rsidRDefault="00B338C5" w:rsidP="006C7FC4">
      <w:pPr>
        <w:pStyle w:val="Paragraphedeliste"/>
        <w:numPr>
          <w:ilvl w:val="0"/>
          <w:numId w:val="18"/>
        </w:numPr>
        <w:shd w:val="clear" w:color="auto" w:fill="FFFFFF"/>
        <w:spacing w:after="0" w:line="240" w:lineRule="auto"/>
        <w:jc w:val="both"/>
        <w:rPr>
          <w:rFonts w:ascii="Arial" w:eastAsia="Times New Roman" w:hAnsi="Arial" w:cs="Arial"/>
          <w:b/>
          <w:bCs/>
          <w:color w:val="2A2F30"/>
          <w:kern w:val="0"/>
          <w:lang w:eastAsia="fr-FR"/>
          <w14:ligatures w14:val="none"/>
        </w:rPr>
      </w:pPr>
      <w:r w:rsidRPr="006C7FC4">
        <w:rPr>
          <w:rFonts w:ascii="Arial" w:eastAsia="Times New Roman" w:hAnsi="Arial" w:cs="Arial"/>
          <w:b/>
          <w:bCs/>
          <w:color w:val="2A2F30"/>
          <w:kern w:val="0"/>
          <w:lang w:eastAsia="fr-FR"/>
          <w14:ligatures w14:val="none"/>
        </w:rPr>
        <w:t>1 demande sur le champ de la jeunesse</w:t>
      </w:r>
    </w:p>
    <w:p w14:paraId="213546AF" w14:textId="7E8B2F32" w:rsidR="00B338C5" w:rsidRPr="006C7FC4" w:rsidRDefault="00B338C5" w:rsidP="006C7FC4">
      <w:pPr>
        <w:pStyle w:val="Paragraphedeliste"/>
        <w:numPr>
          <w:ilvl w:val="0"/>
          <w:numId w:val="18"/>
        </w:numPr>
        <w:shd w:val="clear" w:color="auto" w:fill="FFFFFF"/>
        <w:spacing w:after="0" w:line="240" w:lineRule="auto"/>
        <w:jc w:val="both"/>
        <w:rPr>
          <w:rFonts w:ascii="Arial" w:eastAsia="Times New Roman" w:hAnsi="Arial" w:cs="Arial"/>
          <w:b/>
          <w:bCs/>
          <w:color w:val="2A2F30"/>
          <w:kern w:val="0"/>
          <w:lang w:eastAsia="fr-FR"/>
          <w14:ligatures w14:val="none"/>
        </w:rPr>
      </w:pPr>
      <w:r w:rsidRPr="006C7FC4">
        <w:rPr>
          <w:rFonts w:ascii="Arial" w:eastAsia="Times New Roman" w:hAnsi="Arial" w:cs="Arial"/>
          <w:b/>
          <w:bCs/>
          <w:color w:val="2A2F30"/>
          <w:kern w:val="0"/>
          <w:lang w:eastAsia="fr-FR"/>
          <w14:ligatures w14:val="none"/>
        </w:rPr>
        <w:t>1 demande sur le champ de la parentalité</w:t>
      </w:r>
    </w:p>
    <w:p w14:paraId="1D0096DB" w14:textId="605BBFBC" w:rsidR="00B338C5" w:rsidRPr="006C7FC4" w:rsidRDefault="00B338C5" w:rsidP="006C7FC4">
      <w:pPr>
        <w:pStyle w:val="Paragraphedeliste"/>
        <w:numPr>
          <w:ilvl w:val="0"/>
          <w:numId w:val="18"/>
        </w:numPr>
        <w:shd w:val="clear" w:color="auto" w:fill="FFFFFF"/>
        <w:spacing w:after="0" w:line="240" w:lineRule="auto"/>
        <w:jc w:val="both"/>
        <w:rPr>
          <w:rFonts w:ascii="Arial" w:eastAsia="Times New Roman" w:hAnsi="Arial" w:cs="Arial"/>
          <w:b/>
          <w:bCs/>
          <w:color w:val="2A2F30"/>
          <w:kern w:val="0"/>
          <w:lang w:eastAsia="fr-FR"/>
          <w14:ligatures w14:val="none"/>
        </w:rPr>
      </w:pPr>
      <w:r w:rsidRPr="006C7FC4">
        <w:rPr>
          <w:rFonts w:ascii="Arial" w:eastAsia="Times New Roman" w:hAnsi="Arial" w:cs="Arial"/>
          <w:b/>
          <w:bCs/>
          <w:color w:val="2A2F30"/>
          <w:kern w:val="0"/>
          <w:lang w:eastAsia="fr-FR"/>
          <w14:ligatures w14:val="none"/>
        </w:rPr>
        <w:t>1 demande sur le champ de l’animation de la vie sociale</w:t>
      </w:r>
    </w:p>
    <w:p w14:paraId="270B39A0" w14:textId="77777777" w:rsidR="00B338C5" w:rsidRPr="006C7FC4" w:rsidRDefault="00B338C5" w:rsidP="00D93A26">
      <w:pPr>
        <w:shd w:val="clear" w:color="auto" w:fill="FFFFFF"/>
        <w:spacing w:after="0" w:line="240" w:lineRule="auto"/>
        <w:jc w:val="both"/>
        <w:rPr>
          <w:rFonts w:ascii="Arial" w:eastAsia="Times New Roman" w:hAnsi="Arial" w:cs="Arial"/>
          <w:b/>
          <w:bCs/>
          <w:color w:val="2A2F30"/>
          <w:kern w:val="0"/>
          <w:lang w:eastAsia="fr-FR"/>
          <w14:ligatures w14:val="none"/>
        </w:rPr>
      </w:pPr>
    </w:p>
    <w:p w14:paraId="64EEF2BD" w14:textId="0BEA9A5D" w:rsidR="00B338C5" w:rsidRPr="006C7FC4" w:rsidRDefault="00B338C5" w:rsidP="00D93A26">
      <w:pPr>
        <w:shd w:val="clear" w:color="auto" w:fill="FFFFFF"/>
        <w:spacing w:after="0" w:line="240" w:lineRule="auto"/>
        <w:jc w:val="both"/>
        <w:rPr>
          <w:rFonts w:ascii="Arial" w:eastAsia="Times New Roman" w:hAnsi="Arial" w:cs="Arial"/>
          <w:b/>
          <w:bCs/>
          <w:color w:val="2A2F30"/>
          <w:kern w:val="0"/>
          <w:lang w:eastAsia="fr-FR"/>
          <w14:ligatures w14:val="none"/>
        </w:rPr>
      </w:pPr>
      <w:r w:rsidRPr="006C7FC4">
        <w:rPr>
          <w:rFonts w:ascii="Arial" w:eastAsia="Times New Roman" w:hAnsi="Arial" w:cs="Arial"/>
          <w:b/>
          <w:bCs/>
          <w:color w:val="2A2F30"/>
          <w:kern w:val="0"/>
          <w:lang w:eastAsia="fr-FR"/>
          <w14:ligatures w14:val="none"/>
        </w:rPr>
        <w:t>Les demandes concernant les équipements structurants (crèches, ALSH…) ou d’itinérance (mini-bus…) viennent en supplément des demandes précédentes.</w:t>
      </w:r>
    </w:p>
    <w:p w14:paraId="6AD5BD31" w14:textId="77777777" w:rsidR="00D93A26" w:rsidRPr="006C7FC4" w:rsidRDefault="00D93A26" w:rsidP="008C6DD5">
      <w:pPr>
        <w:shd w:val="clear" w:color="auto" w:fill="FFFFFF"/>
        <w:spacing w:after="0" w:line="240" w:lineRule="auto"/>
        <w:jc w:val="both"/>
        <w:rPr>
          <w:rFonts w:ascii="Arial" w:eastAsia="Times New Roman" w:hAnsi="Arial" w:cs="Arial"/>
          <w:b/>
          <w:bCs/>
          <w:color w:val="2A2F30"/>
          <w:kern w:val="0"/>
          <w:lang w:eastAsia="fr-FR"/>
          <w14:ligatures w14:val="none"/>
        </w:rPr>
      </w:pPr>
    </w:p>
    <w:p w14:paraId="695E4491" w14:textId="0D7F61C0" w:rsidR="000C24AE" w:rsidRDefault="000C24AE" w:rsidP="008C6DD5">
      <w:pPr>
        <w:shd w:val="clear" w:color="auto" w:fill="FFFFFF"/>
        <w:spacing w:after="0" w:line="240" w:lineRule="auto"/>
        <w:jc w:val="both"/>
        <w:rPr>
          <w:rFonts w:ascii="Arial" w:eastAsia="Times New Roman" w:hAnsi="Arial" w:cs="Arial"/>
          <w:color w:val="2A2F30"/>
          <w:kern w:val="0"/>
          <w:lang w:eastAsia="fr-FR"/>
          <w14:ligatures w14:val="none"/>
        </w:rPr>
      </w:pPr>
      <w:r w:rsidRPr="001311C8">
        <w:rPr>
          <w:rFonts w:ascii="Arial" w:eastAsia="Times New Roman" w:hAnsi="Arial" w:cs="Arial"/>
          <w:color w:val="2A2F30"/>
          <w:kern w:val="0"/>
          <w:lang w:eastAsia="fr-FR"/>
          <w14:ligatures w14:val="none"/>
        </w:rPr>
        <w:t>La date limite de dépôt des dossiers est fixée au</w:t>
      </w:r>
      <w:r w:rsidRPr="001311C8">
        <w:rPr>
          <w:rFonts w:ascii="Arial" w:eastAsia="Times New Roman" w:hAnsi="Arial" w:cs="Arial"/>
          <w:b/>
          <w:bCs/>
          <w:color w:val="2A2F30"/>
          <w:kern w:val="0"/>
          <w:lang w:eastAsia="fr-FR"/>
          <w14:ligatures w14:val="none"/>
        </w:rPr>
        <w:t> </w:t>
      </w:r>
      <w:r w:rsidRPr="00687305">
        <w:rPr>
          <w:rFonts w:ascii="Arial" w:eastAsia="Times New Roman" w:hAnsi="Arial" w:cs="Arial"/>
          <w:b/>
          <w:bCs/>
          <w:color w:val="ED7D31" w:themeColor="accent2"/>
          <w:kern w:val="0"/>
          <w:u w:val="single"/>
          <w:lang w:eastAsia="fr-FR"/>
          <w14:ligatures w14:val="none"/>
        </w:rPr>
        <w:t>16 mars 2026</w:t>
      </w:r>
      <w:r w:rsidRPr="008C6DD5">
        <w:rPr>
          <w:rFonts w:ascii="Arial" w:eastAsia="Times New Roman" w:hAnsi="Arial" w:cs="Arial"/>
          <w:b/>
          <w:bCs/>
          <w:color w:val="2A2F30"/>
          <w:kern w:val="0"/>
          <w:lang w:eastAsia="fr-FR"/>
          <w14:ligatures w14:val="none"/>
        </w:rPr>
        <w:t xml:space="preserve">. </w:t>
      </w:r>
      <w:r w:rsidRPr="008C6DD5">
        <w:rPr>
          <w:rFonts w:ascii="Arial" w:eastAsia="Times New Roman" w:hAnsi="Arial" w:cs="Arial"/>
          <w:color w:val="2A2F30"/>
          <w:kern w:val="0"/>
          <w:lang w:eastAsia="fr-FR"/>
          <w14:ligatures w14:val="none"/>
        </w:rPr>
        <w:t>A</w:t>
      </w:r>
      <w:r w:rsidRPr="001311C8">
        <w:rPr>
          <w:rFonts w:ascii="Arial" w:eastAsia="Times New Roman" w:hAnsi="Arial" w:cs="Arial"/>
          <w:color w:val="2A2F30"/>
          <w:kern w:val="0"/>
          <w:lang w:eastAsia="fr-FR"/>
          <w14:ligatures w14:val="none"/>
        </w:rPr>
        <w:t>près cette date, les dossiers ne seront pas étudiés.</w:t>
      </w:r>
    </w:p>
    <w:p w14:paraId="44C653ED" w14:textId="7568B9CC" w:rsidR="00687305" w:rsidRPr="001311C8" w:rsidRDefault="00687305" w:rsidP="008C6DD5">
      <w:pPr>
        <w:shd w:val="clear" w:color="auto" w:fill="FFFFFF"/>
        <w:spacing w:after="0" w:line="240" w:lineRule="auto"/>
        <w:jc w:val="both"/>
        <w:rPr>
          <w:rFonts w:ascii="Arial" w:eastAsia="Times New Roman" w:hAnsi="Arial" w:cs="Arial"/>
          <w:color w:val="212529"/>
          <w:kern w:val="0"/>
          <w:lang w:eastAsia="fr-FR"/>
          <w14:ligatures w14:val="none"/>
        </w:rPr>
      </w:pPr>
      <w:r>
        <w:rPr>
          <w:rFonts w:ascii="Arial" w:eastAsia="Times New Roman" w:hAnsi="Arial" w:cs="Arial"/>
          <w:color w:val="2A2F30"/>
          <w:kern w:val="0"/>
          <w:lang w:eastAsia="fr-FR"/>
          <w14:ligatures w14:val="none"/>
        </w:rPr>
        <w:t xml:space="preserve">Les demandes seront présentées à la commission du </w:t>
      </w:r>
      <w:r w:rsidRPr="00687305">
        <w:rPr>
          <w:rFonts w:ascii="Arial" w:eastAsia="Times New Roman" w:hAnsi="Arial" w:cs="Arial"/>
          <w:b/>
          <w:bCs/>
          <w:color w:val="4472C4" w:themeColor="accent1"/>
          <w:kern w:val="0"/>
          <w:u w:val="single"/>
          <w:lang w:eastAsia="fr-FR"/>
          <w14:ligatures w14:val="none"/>
        </w:rPr>
        <w:t>27 avril 2026</w:t>
      </w:r>
    </w:p>
    <w:p w14:paraId="7AD206B1" w14:textId="77777777" w:rsidR="000C24AE" w:rsidRPr="008C6DD5" w:rsidRDefault="000C24AE" w:rsidP="008C6DD5">
      <w:pPr>
        <w:shd w:val="clear" w:color="auto" w:fill="FFFFFF"/>
        <w:spacing w:after="0" w:line="240" w:lineRule="auto"/>
        <w:jc w:val="both"/>
        <w:rPr>
          <w:rFonts w:ascii="Arial" w:eastAsia="Times New Roman" w:hAnsi="Arial" w:cs="Arial"/>
          <w:b/>
          <w:bCs/>
          <w:color w:val="2A2F30"/>
          <w:kern w:val="0"/>
          <w:lang w:eastAsia="fr-FR"/>
          <w14:ligatures w14:val="none"/>
        </w:rPr>
      </w:pPr>
    </w:p>
    <w:p w14:paraId="3FD10EF1" w14:textId="77777777" w:rsidR="000C24AE" w:rsidRPr="008C6DD5" w:rsidRDefault="001311C8" w:rsidP="008C6DD5">
      <w:pPr>
        <w:shd w:val="clear" w:color="auto" w:fill="FFFFFF"/>
        <w:spacing w:after="0" w:line="240" w:lineRule="auto"/>
        <w:jc w:val="both"/>
        <w:rPr>
          <w:rFonts w:ascii="Arial" w:eastAsia="Times New Roman" w:hAnsi="Arial" w:cs="Arial"/>
          <w:b/>
          <w:bCs/>
          <w:color w:val="2A2F30"/>
          <w:kern w:val="0"/>
          <w:lang w:eastAsia="fr-FR"/>
          <w14:ligatures w14:val="none"/>
        </w:rPr>
      </w:pPr>
      <w:r w:rsidRPr="001311C8">
        <w:rPr>
          <w:rFonts w:ascii="Arial" w:eastAsia="Times New Roman" w:hAnsi="Arial" w:cs="Arial"/>
          <w:b/>
          <w:bCs/>
          <w:color w:val="2A2F30"/>
          <w:kern w:val="0"/>
          <w:lang w:eastAsia="fr-FR"/>
          <w14:ligatures w14:val="none"/>
        </w:rPr>
        <w:t>Pour le fonctionnement :</w:t>
      </w:r>
    </w:p>
    <w:p w14:paraId="7B417F93" w14:textId="305DF206" w:rsidR="001311C8" w:rsidRDefault="001311C8" w:rsidP="008C6DD5">
      <w:pPr>
        <w:shd w:val="clear" w:color="auto" w:fill="FFFFFF"/>
        <w:spacing w:after="0" w:line="240" w:lineRule="auto"/>
        <w:jc w:val="both"/>
        <w:rPr>
          <w:rFonts w:ascii="Arial" w:eastAsia="Times New Roman" w:hAnsi="Arial" w:cs="Arial"/>
          <w:color w:val="2A2F30"/>
          <w:kern w:val="0"/>
          <w:lang w:eastAsia="fr-FR"/>
          <w14:ligatures w14:val="none"/>
        </w:rPr>
      </w:pPr>
      <w:r w:rsidRPr="001311C8">
        <w:rPr>
          <w:rFonts w:ascii="Arial" w:eastAsia="Times New Roman" w:hAnsi="Arial" w:cs="Arial"/>
          <w:color w:val="2A2F30"/>
          <w:kern w:val="0"/>
          <w:lang w:eastAsia="fr-FR"/>
          <w14:ligatures w14:val="none"/>
        </w:rPr>
        <w:t>La date limite de dépôt des dossiers est fixée au</w:t>
      </w:r>
      <w:r w:rsidRPr="001311C8">
        <w:rPr>
          <w:rFonts w:ascii="Arial" w:eastAsia="Times New Roman" w:hAnsi="Arial" w:cs="Arial"/>
          <w:b/>
          <w:bCs/>
          <w:color w:val="2A2F30"/>
          <w:kern w:val="0"/>
          <w:lang w:eastAsia="fr-FR"/>
          <w14:ligatures w14:val="none"/>
        </w:rPr>
        <w:t> </w:t>
      </w:r>
      <w:r w:rsidR="000C24AE" w:rsidRPr="00687305">
        <w:rPr>
          <w:rFonts w:ascii="Arial" w:eastAsia="Times New Roman" w:hAnsi="Arial" w:cs="Arial"/>
          <w:b/>
          <w:bCs/>
          <w:color w:val="ED7D31" w:themeColor="accent2"/>
          <w:kern w:val="0"/>
          <w:u w:val="single"/>
          <w:lang w:eastAsia="fr-FR"/>
          <w14:ligatures w14:val="none"/>
        </w:rPr>
        <w:t>19 mai</w:t>
      </w:r>
      <w:r w:rsidRPr="001311C8">
        <w:rPr>
          <w:rFonts w:ascii="Arial" w:eastAsia="Times New Roman" w:hAnsi="Arial" w:cs="Arial"/>
          <w:b/>
          <w:bCs/>
          <w:color w:val="ED7D31" w:themeColor="accent2"/>
          <w:kern w:val="0"/>
          <w:u w:val="single"/>
          <w:lang w:eastAsia="fr-FR"/>
          <w14:ligatures w14:val="none"/>
        </w:rPr>
        <w:t xml:space="preserve"> 2026</w:t>
      </w:r>
      <w:r w:rsidR="000C24AE" w:rsidRPr="008C6DD5">
        <w:rPr>
          <w:rFonts w:ascii="Arial" w:eastAsia="Times New Roman" w:hAnsi="Arial" w:cs="Arial"/>
          <w:color w:val="2A2F30"/>
          <w:kern w:val="0"/>
          <w:lang w:eastAsia="fr-FR"/>
          <w14:ligatures w14:val="none"/>
        </w:rPr>
        <w:t>. A</w:t>
      </w:r>
      <w:r w:rsidRPr="001311C8">
        <w:rPr>
          <w:rFonts w:ascii="Arial" w:eastAsia="Times New Roman" w:hAnsi="Arial" w:cs="Arial"/>
          <w:color w:val="2A2F30"/>
          <w:kern w:val="0"/>
          <w:lang w:eastAsia="fr-FR"/>
          <w14:ligatures w14:val="none"/>
        </w:rPr>
        <w:t>près cette date, les dossiers ne seront pas étudiés. </w:t>
      </w:r>
    </w:p>
    <w:p w14:paraId="416B0F63" w14:textId="33F57A1D" w:rsidR="00687305" w:rsidRPr="001311C8" w:rsidRDefault="00687305" w:rsidP="008C6DD5">
      <w:pPr>
        <w:shd w:val="clear" w:color="auto" w:fill="FFFFFF"/>
        <w:spacing w:after="0" w:line="240" w:lineRule="auto"/>
        <w:jc w:val="both"/>
        <w:rPr>
          <w:rFonts w:ascii="Arial" w:eastAsia="Times New Roman" w:hAnsi="Arial" w:cs="Arial"/>
          <w:color w:val="212529"/>
          <w:kern w:val="0"/>
          <w:lang w:eastAsia="fr-FR"/>
          <w14:ligatures w14:val="none"/>
        </w:rPr>
      </w:pPr>
      <w:r>
        <w:rPr>
          <w:rFonts w:ascii="Arial" w:eastAsia="Times New Roman" w:hAnsi="Arial" w:cs="Arial"/>
          <w:color w:val="2A2F30"/>
          <w:kern w:val="0"/>
          <w:lang w:eastAsia="fr-FR"/>
          <w14:ligatures w14:val="none"/>
        </w:rPr>
        <w:t xml:space="preserve">Les demandes seront présentées à la commission du </w:t>
      </w:r>
      <w:r w:rsidRPr="00687305">
        <w:rPr>
          <w:rFonts w:ascii="Arial" w:eastAsia="Times New Roman" w:hAnsi="Arial" w:cs="Arial"/>
          <w:b/>
          <w:bCs/>
          <w:color w:val="4472C4" w:themeColor="accent1"/>
          <w:kern w:val="0"/>
          <w:u w:val="single"/>
          <w:lang w:eastAsia="fr-FR"/>
          <w14:ligatures w14:val="none"/>
        </w:rPr>
        <w:t>22 juin 2026</w:t>
      </w:r>
    </w:p>
    <w:sectPr w:rsidR="00687305" w:rsidRPr="001311C8" w:rsidSect="001077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2CCF"/>
    <w:multiLevelType w:val="hybridMultilevel"/>
    <w:tmpl w:val="46A21C24"/>
    <w:lvl w:ilvl="0" w:tplc="040C0001">
      <w:start w:val="1"/>
      <w:numFmt w:val="bullet"/>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1F79E7"/>
    <w:multiLevelType w:val="hybridMultilevel"/>
    <w:tmpl w:val="C75EE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F65BC7"/>
    <w:multiLevelType w:val="multilevel"/>
    <w:tmpl w:val="5B3C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A13A40"/>
    <w:multiLevelType w:val="multilevel"/>
    <w:tmpl w:val="CFC2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DE6795"/>
    <w:multiLevelType w:val="multilevel"/>
    <w:tmpl w:val="22C4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2634A3"/>
    <w:multiLevelType w:val="multilevel"/>
    <w:tmpl w:val="31DC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D46168"/>
    <w:multiLevelType w:val="hybridMultilevel"/>
    <w:tmpl w:val="553C49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EA4E18"/>
    <w:multiLevelType w:val="hybridMultilevel"/>
    <w:tmpl w:val="778E20F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E4656BC"/>
    <w:multiLevelType w:val="multilevel"/>
    <w:tmpl w:val="78D8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CD0C56"/>
    <w:multiLevelType w:val="hybridMultilevel"/>
    <w:tmpl w:val="C6D46E12"/>
    <w:lvl w:ilvl="0" w:tplc="09D6A1CA">
      <w:start w:val="1"/>
      <w:numFmt w:val="bullet"/>
      <w:lvlText w:val=""/>
      <w:lvlJc w:val="left"/>
      <w:pPr>
        <w:ind w:left="720" w:hanging="360"/>
      </w:pPr>
      <w:rPr>
        <w:rFonts w:ascii="Wingdings" w:hAnsi="Wingdings" w:cs="Symbol" w:hint="default"/>
        <w:color w:val="0070C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2A487F"/>
    <w:multiLevelType w:val="multilevel"/>
    <w:tmpl w:val="070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8B23C4"/>
    <w:multiLevelType w:val="hybridMultilevel"/>
    <w:tmpl w:val="CB8A28B8"/>
    <w:lvl w:ilvl="0" w:tplc="71309D7A">
      <w:numFmt w:val="bullet"/>
      <w:lvlText w:val="-"/>
      <w:lvlJc w:val="left"/>
      <w:pPr>
        <w:ind w:left="1080" w:hanging="360"/>
      </w:pPr>
      <w:rPr>
        <w:rFonts w:ascii="Roboto" w:eastAsia="Times New Roman" w:hAnsi="Roboto" w:cs="Times New Roman" w:hint="default"/>
        <w:color w:val="00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4F7914AE"/>
    <w:multiLevelType w:val="hybridMultilevel"/>
    <w:tmpl w:val="21D2B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07665E"/>
    <w:multiLevelType w:val="hybridMultilevel"/>
    <w:tmpl w:val="04E4065E"/>
    <w:lvl w:ilvl="0" w:tplc="C1CE9104">
      <w:start w:val="1"/>
      <w:numFmt w:val="bullet"/>
      <w:lvlText w:val=""/>
      <w:lvlJc w:val="left"/>
      <w:pPr>
        <w:ind w:left="720" w:hanging="360"/>
      </w:pPr>
      <w:rPr>
        <w:rFonts w:ascii="Wingdings" w:hAnsi="Wingdings" w:cs="Symbol" w:hint="default"/>
        <w:color w:val="ED7D31" w:themeColor="accent2"/>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2348A2"/>
    <w:multiLevelType w:val="hybridMultilevel"/>
    <w:tmpl w:val="48A07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CB0208"/>
    <w:multiLevelType w:val="multilevel"/>
    <w:tmpl w:val="2C9C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AA64EF"/>
    <w:multiLevelType w:val="hybridMultilevel"/>
    <w:tmpl w:val="EBEA3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43380A"/>
    <w:multiLevelType w:val="hybridMultilevel"/>
    <w:tmpl w:val="4ABA567A"/>
    <w:lvl w:ilvl="0" w:tplc="C3E81DE0">
      <w:start w:val="1"/>
      <w:numFmt w:val="bullet"/>
      <w:lvlText w:val=""/>
      <w:lvlJc w:val="left"/>
      <w:pPr>
        <w:ind w:left="720" w:hanging="360"/>
      </w:pPr>
      <w:rPr>
        <w:rFonts w:ascii="Webdings" w:hAnsi="Webdings" w:hint="default"/>
        <w:color w:val="FF99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5810450">
    <w:abstractNumId w:val="4"/>
  </w:num>
  <w:num w:numId="2" w16cid:durableId="1437289320">
    <w:abstractNumId w:val="5"/>
  </w:num>
  <w:num w:numId="3" w16cid:durableId="980423453">
    <w:abstractNumId w:val="2"/>
  </w:num>
  <w:num w:numId="4" w16cid:durableId="1238203812">
    <w:abstractNumId w:val="15"/>
  </w:num>
  <w:num w:numId="5" w16cid:durableId="1570533251">
    <w:abstractNumId w:val="8"/>
  </w:num>
  <w:num w:numId="6" w16cid:durableId="1670870464">
    <w:abstractNumId w:val="10"/>
  </w:num>
  <w:num w:numId="7" w16cid:durableId="425883901">
    <w:abstractNumId w:val="3"/>
  </w:num>
  <w:num w:numId="8" w16cid:durableId="285280854">
    <w:abstractNumId w:val="7"/>
  </w:num>
  <w:num w:numId="9" w16cid:durableId="1014112325">
    <w:abstractNumId w:val="11"/>
  </w:num>
  <w:num w:numId="10" w16cid:durableId="848831847">
    <w:abstractNumId w:val="0"/>
  </w:num>
  <w:num w:numId="11" w16cid:durableId="168444917">
    <w:abstractNumId w:val="12"/>
  </w:num>
  <w:num w:numId="12" w16cid:durableId="1715498519">
    <w:abstractNumId w:val="6"/>
  </w:num>
  <w:num w:numId="13" w16cid:durableId="2145661671">
    <w:abstractNumId w:val="1"/>
  </w:num>
  <w:num w:numId="14" w16cid:durableId="1286815464">
    <w:abstractNumId w:val="17"/>
  </w:num>
  <w:num w:numId="15" w16cid:durableId="1582714527">
    <w:abstractNumId w:val="14"/>
  </w:num>
  <w:num w:numId="16" w16cid:durableId="2015037118">
    <w:abstractNumId w:val="13"/>
  </w:num>
  <w:num w:numId="17" w16cid:durableId="1334793666">
    <w:abstractNumId w:val="9"/>
  </w:num>
  <w:num w:numId="18" w16cid:durableId="2653567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C8"/>
    <w:rsid w:val="000C24AE"/>
    <w:rsid w:val="00107711"/>
    <w:rsid w:val="001311C8"/>
    <w:rsid w:val="004178EC"/>
    <w:rsid w:val="00593554"/>
    <w:rsid w:val="00687305"/>
    <w:rsid w:val="006C7FC4"/>
    <w:rsid w:val="0089418A"/>
    <w:rsid w:val="008C6DD5"/>
    <w:rsid w:val="00AE3F5C"/>
    <w:rsid w:val="00B338C5"/>
    <w:rsid w:val="00CD59AC"/>
    <w:rsid w:val="00D93A26"/>
    <w:rsid w:val="00E719B9"/>
    <w:rsid w:val="00EF656E"/>
    <w:rsid w:val="00F27D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34C1"/>
  <w15:chartTrackingRefBased/>
  <w15:docId w15:val="{281A8D14-651E-46D1-8C4B-1F66A144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11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311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311C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311C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311C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311C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11C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11C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11C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11C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311C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311C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311C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311C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311C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11C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11C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11C8"/>
    <w:rPr>
      <w:rFonts w:eastAsiaTheme="majorEastAsia" w:cstheme="majorBidi"/>
      <w:color w:val="272727" w:themeColor="text1" w:themeTint="D8"/>
    </w:rPr>
  </w:style>
  <w:style w:type="paragraph" w:styleId="Titre">
    <w:name w:val="Title"/>
    <w:basedOn w:val="Normal"/>
    <w:next w:val="Normal"/>
    <w:link w:val="TitreCar"/>
    <w:uiPriority w:val="10"/>
    <w:qFormat/>
    <w:rsid w:val="00131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11C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11C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11C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11C8"/>
    <w:pPr>
      <w:spacing w:before="160"/>
      <w:jc w:val="center"/>
    </w:pPr>
    <w:rPr>
      <w:i/>
      <w:iCs/>
      <w:color w:val="404040" w:themeColor="text1" w:themeTint="BF"/>
    </w:rPr>
  </w:style>
  <w:style w:type="character" w:customStyle="1" w:styleId="CitationCar">
    <w:name w:val="Citation Car"/>
    <w:basedOn w:val="Policepardfaut"/>
    <w:link w:val="Citation"/>
    <w:uiPriority w:val="29"/>
    <w:rsid w:val="001311C8"/>
    <w:rPr>
      <w:i/>
      <w:iCs/>
      <w:color w:val="404040" w:themeColor="text1" w:themeTint="BF"/>
    </w:rPr>
  </w:style>
  <w:style w:type="paragraph" w:styleId="Paragraphedeliste">
    <w:name w:val="List Paragraph"/>
    <w:aliases w:val="Liste 1,Listes,lp1,Paragraphe 3,ParagrapheLEXSI,Bull - Bullet niveau 1,Lettre d'introduction,Paragrafo elenco1,Paragraphe de liste serré,Sémaphores Puces"/>
    <w:basedOn w:val="Normal"/>
    <w:link w:val="ParagraphedelisteCar"/>
    <w:uiPriority w:val="34"/>
    <w:qFormat/>
    <w:rsid w:val="001311C8"/>
    <w:pPr>
      <w:ind w:left="720"/>
      <w:contextualSpacing/>
    </w:pPr>
  </w:style>
  <w:style w:type="character" w:styleId="Accentuationintense">
    <w:name w:val="Intense Emphasis"/>
    <w:basedOn w:val="Policepardfaut"/>
    <w:uiPriority w:val="21"/>
    <w:qFormat/>
    <w:rsid w:val="001311C8"/>
    <w:rPr>
      <w:i/>
      <w:iCs/>
      <w:color w:val="2F5496" w:themeColor="accent1" w:themeShade="BF"/>
    </w:rPr>
  </w:style>
  <w:style w:type="paragraph" w:styleId="Citationintense">
    <w:name w:val="Intense Quote"/>
    <w:basedOn w:val="Normal"/>
    <w:next w:val="Normal"/>
    <w:link w:val="CitationintenseCar"/>
    <w:uiPriority w:val="30"/>
    <w:qFormat/>
    <w:rsid w:val="00131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311C8"/>
    <w:rPr>
      <w:i/>
      <w:iCs/>
      <w:color w:val="2F5496" w:themeColor="accent1" w:themeShade="BF"/>
    </w:rPr>
  </w:style>
  <w:style w:type="character" w:styleId="Rfrenceintense">
    <w:name w:val="Intense Reference"/>
    <w:basedOn w:val="Policepardfaut"/>
    <w:uiPriority w:val="32"/>
    <w:qFormat/>
    <w:rsid w:val="001311C8"/>
    <w:rPr>
      <w:b/>
      <w:bCs/>
      <w:smallCaps/>
      <w:color w:val="2F5496" w:themeColor="accent1" w:themeShade="BF"/>
      <w:spacing w:val="5"/>
    </w:rPr>
  </w:style>
  <w:style w:type="character" w:styleId="Lienhypertexte">
    <w:name w:val="Hyperlink"/>
    <w:basedOn w:val="Policepardfaut"/>
    <w:uiPriority w:val="99"/>
    <w:unhideWhenUsed/>
    <w:rsid w:val="000C24AE"/>
    <w:rPr>
      <w:color w:val="0563C1" w:themeColor="hyperlink"/>
      <w:u w:val="single"/>
    </w:rPr>
  </w:style>
  <w:style w:type="character" w:customStyle="1" w:styleId="ParagraphedelisteCar">
    <w:name w:val="Paragraphe de liste Car"/>
    <w:aliases w:val="Liste 1 Car,Listes Car,lp1 Car,Paragraphe 3 Car,ParagrapheLEXSI Car,Bull - Bullet niveau 1 Car,Lettre d'introduction Car,Paragrafo elenco1 Car,Paragraphe de liste serré Car,Sémaphores Puces Car"/>
    <w:link w:val="Paragraphedeliste"/>
    <w:uiPriority w:val="34"/>
    <w:qFormat/>
    <w:rsid w:val="000C2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46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c@caf15.caf.fr"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partenariatmsa.blf@auvergne.msa.fr" TargetMode="External"/><Relationship Id="rId4" Type="http://schemas.openxmlformats.org/officeDocument/2006/relationships/webSettings" Target="webSettings.xml"/><Relationship Id="rId9" Type="http://schemas.openxmlformats.org/officeDocument/2006/relationships/hyperlink" Target="mailto:lebert.muriel@auvergne.ms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1053</Words>
  <Characters>5795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SULAS 151</dc:creator>
  <cp:keywords/>
  <dc:description/>
  <cp:lastModifiedBy>Fabrice SULAS 151</cp:lastModifiedBy>
  <cp:revision>3</cp:revision>
  <dcterms:created xsi:type="dcterms:W3CDTF">2026-01-30T14:36:00Z</dcterms:created>
  <dcterms:modified xsi:type="dcterms:W3CDTF">2026-02-02T13:10:00Z</dcterms:modified>
</cp:coreProperties>
</file>